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тестирования обучающихся 6, 8, 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ФГ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№5»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учебный год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(в динамике с результатами за 2 полугодие 2023-2024 учебный год)</w:t>
      </w:r>
      <w:r>
        <w:rPr>
          <w:b/>
        </w:rPr>
      </w:r>
      <w:r/>
    </w:p>
    <w:p>
      <w:pPr>
        <w:ind w:left="-283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: определение уровня качества ЗУН обучающихся по ФГ; динамика результатов по формированию ФГ в сравнении с результатами тестирования за 2 полугодие 2023-2024 учебный год.</w:t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Сроки контроля</w:t>
      </w:r>
      <w:r>
        <w:rPr>
          <w:rFonts w:ascii="Times New Roman" w:hAnsi="Times New Roman" w:cs="Times New Roman"/>
          <w:sz w:val="24"/>
          <w:szCs w:val="24"/>
        </w:rPr>
        <w:t xml:space="preserve">: 03.03.2025 -11.04.2025 г.</w:t>
      </w:r>
      <w:r/>
    </w:p>
    <w:p>
      <w:pPr>
        <w:ind w:left="-28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Форма контроля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региональные диагностические работы в электронном формате.</w:t>
      </w:r>
      <w:r>
        <w:rPr>
          <w:color w:val="auto"/>
        </w:rPr>
      </w:r>
      <w:r/>
    </w:p>
    <w:p>
      <w:pPr>
        <w:ind w:left="-283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рамках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регионального плана мероприятий, направленных на формирование и оценку функциональной грамотности обучающихся образовательных организаций, на 2024-2025 учебный год, на основании приказа МКУ «Управление образования» ДГО №16-А п.2 от 25.02.2025 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«О проведении оценки уровня сформированности ФГ учащихся 6, 8 и 9 классов ДГО» и приказа МБОУ «СОШ №5» ДГО №22-А п.2 от 12.03.2025 г. «О проведении оценки уровня сформированности ФГ учащихся 6, 8, 9 классов»  в период с 03.03.2025 года по 11.04.2025 года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6, 8, 9 классах ш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колы были пр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ведены диагностические работы по оценке функциональной грамотности по направлениям: читательская, естественнонаучная и математическая грамотность. В ходе данного итогового мониторинга выявлен общий уровень  ФГ обучающихся на конец 2024-2025 учебного года.</w:t>
      </w:r>
      <w:r>
        <w:rPr>
          <w:color w:val="auto"/>
        </w:rPr>
      </w:r>
      <w:r/>
    </w:p>
    <w:p>
      <w:pPr>
        <w:ind w:left="-283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Результаты итогового тестирования:</w:t>
      </w:r>
      <w:r>
        <w:rPr>
          <w:color w:val="auto"/>
        </w:rPr>
      </w:r>
      <w:r/>
    </w:p>
    <w:p>
      <w:pPr>
        <w:ind w:left="-283" w:righ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4"/>
        </w:rPr>
      </w:r>
      <w:r/>
    </w:p>
    <w:p>
      <w:pPr>
        <w:ind w:left="-283" w:right="0" w:firstLine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4"/>
        </w:rPr>
        <w:t xml:space="preserve">1.Читательская грамотность</w:t>
      </w:r>
      <w:r>
        <w:rPr>
          <w:sz w:val="28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328"/>
        <w:gridCol w:w="1417"/>
        <w:gridCol w:w="1701"/>
        <w:gridCol w:w="1701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>
          <w:trHeight w:val="90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09.04.2025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117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Диагностика не состоялась по техническим причинам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14.03.2025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color w:val="auto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(21,7%)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91,3%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56,5%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none"/>
              </w:rPr>
              <w:t xml:space="preserve">9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14.03.2025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21 (84,0%)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 (61,9%)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100%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80,95%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«Читательская грамотность»</w:t>
      </w:r>
      <w:r>
        <w:rPr>
          <w:color w:val="auto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</w:rPr>
        <w:t xml:space="preserve">в сравнении с 2023-2024 учебным годом </w:t>
      </w:r>
      <w:r>
        <w:rPr>
          <w:b/>
          <w:i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559"/>
        <w:gridCol w:w="1276"/>
        <w:gridCol w:w="1276"/>
        <w:gridCol w:w="1417"/>
        <w:gridCol w:w="1417"/>
        <w:gridCol w:w="1417"/>
        <w:gridCol w:w="1276"/>
        <w:gridCol w:w="1134"/>
        <w:gridCol w:w="1701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gridSpan w:val="5"/>
            <w:tcW w:w="68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Динамика результатов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——————</w:t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09.04.2025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В 2023-2024 г. не тестировались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Не прошли диагностику по техническим причинам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Динамику результатов отследить невозможно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8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15.04.2024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14.03.2025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 (100%)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(15,4%)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(11,5%)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(8,7%)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 (57,7%)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(15,4%)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(34,8%)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(21,7%)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73,1%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91,3%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15,4%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56,5%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Рост показателей успеваемости и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9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12.04.2024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14.03.2025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34 (97,1%)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21 (84,0%)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(2,9%)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 (20,6%)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 (44,1%)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 (61,9%)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(32,4%)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4 (19,0%)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97,1%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76,5%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80,95%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Рост показателей успеваемости и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8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8"/>
          <w:szCs w:val="24"/>
          <w:highlight w:val="none"/>
        </w:rPr>
        <w:t xml:space="preserve">2. Математическая грамотность</w:t>
      </w:r>
      <w:r>
        <w:rPr>
          <w:sz w:val="28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435"/>
        <w:gridCol w:w="1276"/>
        <w:gridCol w:w="1417"/>
        <w:gridCol w:w="1701"/>
        <w:gridCol w:w="1559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6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08.04.2025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117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Диагностика не состоялась по техническим причинам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13.03.2025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(45,5%)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81,8%</w:t>
            </w:r>
            <w:r>
              <w:rPr>
                <w:color w:val="auto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36,4%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13.03.2025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(63,6%)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«Математическая грамотность»</w:t>
      </w:r>
      <w:r>
        <w:rPr>
          <w:color w:val="auto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</w:rPr>
        <w:t xml:space="preserve">в сравнении с 2023-2024 учебным годом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559"/>
        <w:gridCol w:w="1276"/>
        <w:gridCol w:w="1276"/>
        <w:gridCol w:w="1417"/>
        <w:gridCol w:w="1417"/>
        <w:gridCol w:w="1417"/>
        <w:gridCol w:w="1276"/>
        <w:gridCol w:w="1134"/>
        <w:gridCol w:w="1700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gridSpan w:val="5"/>
            <w:tcW w:w="68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Динамика результатов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——————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08.04.2025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gridSpan w:val="8"/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В 2023-2024 г. не тестировались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Не прошли диагностику по техническим причинам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Динамику результатов отследить невозможно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8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10.04.2024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13.03.2025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 (96,2%)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 (45,5%)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(44%)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(36%)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(9,1%)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88,0%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81,8%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80,0%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36,4%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Снижение показателей успеваемости и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09.04.2024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13.03.2025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35 (100%)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22 (88,0%)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(2,9%)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17 (48,6%)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 (9,1%)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(40,0%)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6 (27,3%)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(8,6%)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14 (63,6%)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97,1%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48,6%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90,9%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Рост показателей успеваемости и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suppressLineNumbers w:val="0"/>
      </w:pPr>
      <w:r/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color w:val="auto"/>
          <w:sz w:val="28"/>
          <w:highlight w:val="none"/>
        </w:rPr>
        <w:suppressLineNumbers w:val="0"/>
      </w:pPr>
      <w:r>
        <w:rPr>
          <w:sz w:val="28"/>
        </w:rPr>
      </w:r>
      <w:r>
        <w:rPr>
          <w:rFonts w:ascii="Times New Roman" w:hAnsi="Times New Roman" w:cs="Times New Roman"/>
          <w:b/>
          <w:i/>
          <w:color w:val="auto"/>
          <w:sz w:val="28"/>
          <w:szCs w:val="24"/>
          <w:highlight w:val="none"/>
        </w:rPr>
        <w:t xml:space="preserve">3. Естественнонаучная грамотность</w:t>
      </w:r>
      <w:r>
        <w:rPr>
          <w:sz w:val="28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362"/>
        <w:gridCol w:w="1843"/>
        <w:gridCol w:w="1701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color w:val="auto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color w:val="auto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04.04.2025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(35,7%)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(57,1%)</w:t>
            </w:r>
            <w:r>
              <w:rPr>
                <w:color w:val="auto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17.03.2025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26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23 (88,5%)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 (8,7%)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 (4,3%)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3 (13,0%)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17 (73,9%)</w:t>
            </w:r>
            <w:r>
              <w:rPr>
                <w:color w:val="auto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91,3%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86,96%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17.03.2025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(90,5%)</w:t>
            </w:r>
            <w:r>
              <w:rPr>
                <w:color w:val="auto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95,2%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90,5%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</w:tr>
    </w:tbl>
    <w:p>
      <w:pPr>
        <w:contextualSpacing w:val="true"/>
        <w:ind w:left="-283" w:right="0" w:firstLine="0"/>
        <w:jc w:val="center"/>
        <w:rPr>
          <w:color w:val="FF0000"/>
        </w:rPr>
        <w:suppressLineNumbers w:val="0"/>
      </w:pPr>
      <w:r>
        <w:rPr>
          <w:color w:val="FF0000"/>
        </w:rPr>
      </w:r>
      <w:r/>
    </w:p>
    <w:p>
      <w:pPr>
        <w:contextualSpacing w:val="true"/>
        <w:ind w:left="-283" w:right="0" w:firstLine="0"/>
        <w:jc w:val="center"/>
        <w:rPr>
          <w:color w:val="FF0000"/>
        </w:rPr>
        <w:suppressLineNumbers w:val="0"/>
      </w:pPr>
      <w:r>
        <w:rPr>
          <w:color w:val="FF0000"/>
        </w:rPr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Сопоставительный анализ результатов оценки функциональной грамотности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направлению «Естественнонаучная грамотность»</w:t>
      </w:r>
      <w:r>
        <w:rPr>
          <w:rFonts w:ascii="Times New Roman" w:hAnsi="Times New Roman" w:cs="Times New Roman" w:eastAsia="Times New Roman"/>
          <w:b/>
          <w:i/>
          <w:color w:val="auto"/>
          <w:sz w:val="24"/>
        </w:rPr>
        <w:t xml:space="preserve"> в сравнении с 2023-2024 учебным годом</w:t>
      </w:r>
      <w:r>
        <w:rPr>
          <w:rFonts w:ascii="Times New Roman" w:hAnsi="Times New Roman" w:cs="Times New Roman" w:eastAsia="Times New Roman"/>
          <w:b/>
          <w:i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559"/>
        <w:gridCol w:w="1276"/>
        <w:gridCol w:w="1276"/>
        <w:gridCol w:w="1417"/>
        <w:gridCol w:w="1417"/>
        <w:gridCol w:w="1417"/>
        <w:gridCol w:w="1276"/>
        <w:gridCol w:w="1134"/>
        <w:gridCol w:w="1700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gridSpan w:val="5"/>
            <w:tcW w:w="68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Динамика результатов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——————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04.04.2025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 (35,7%)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(57,1%)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—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Динамику результатов отследить невозможно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8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16.04.2024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17.03.2025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26 (100%)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(3,8%)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(8,7%)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(7,7%)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(4,3%)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(7,7%)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(36%)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17 (73,9%)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80,8%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91,3%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88,5%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86,96%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Рост успеваемости, но снижение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16.04.2024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17.03.2025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34 (97,1%)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21 (84,0%)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(2,9%)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(26,5%)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 (4,8%)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(26,5%)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 (4,8%)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(32,4%)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0 (0%)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(11,8%)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19 (90,5%)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70,6%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95,2%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44,1%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000000" w:themeColor="text1"/>
                <w:sz w:val="24"/>
                <w:highlight w:val="none"/>
              </w:rPr>
              <w:t xml:space="preserve">90,5%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Рост показателей успеваемости и качества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Вывод: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В 6,8,9 классах в 2024-2025 учебном году обучается 65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подвергнуто:</w:t>
      </w:r>
      <w:r>
        <w:rPr>
          <w:color w:val="auto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004"/>
        <w:gridCol w:w="4004"/>
        <w:gridCol w:w="4004"/>
        <w:gridCol w:w="4004"/>
      </w:tblGrid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Диагностика не состоялась по техническим причинам.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(1 обучающаяся по болезни; 2 обучающихся по неуважительным причинам)</w:t>
            </w:r>
            <w:r>
              <w:rPr>
                <w:color w:val="auto"/>
              </w:rPr>
              <w:t xml:space="preserve">.</w:t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(84,0%)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по болезни.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Диагностика не состоялась по техническим причинам.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r/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(84,6%)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(2 обучающихся по болезни; 1 обучающаяся по уважительной причине; 1 обучающаяся по неуважительной причине).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(2 обучающихся по болезни; 1 обучающийся по неуважительной причине).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Естественно-научная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(100%)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FF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23 (88,5%)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(1 обучающийся по болезни; 2 обучающихся по уважительной причине).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(2 обучающихся по болезни; 2 обучающихся по уважительной причине).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По результатам мониторинга видно, что общая успеваемость и качество знаний по направлениям следующие:</w:t>
      </w:r>
      <w:r>
        <w:rPr>
          <w:color w:val="FF0000"/>
        </w:rPr>
      </w:r>
      <w:r/>
    </w:p>
    <w:tbl>
      <w:tblPr>
        <w:tblStyle w:val="48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004"/>
        <w:gridCol w:w="4004"/>
        <w:gridCol w:w="4004"/>
        <w:gridCol w:w="4004"/>
      </w:tblGrid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Направление функциональной грамотности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Общая 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Общее качество знаний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Динамика показателей в сравнении с периодом 2 полугодие 2023-2024 учебного года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 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95,7 %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68,7%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85,1%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→95,7%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vertAlign w:val="baseline"/>
              </w:rPr>
              <w:t xml:space="preserve">Качество знаний 45,95%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68,7%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 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90,9%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63,7%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92,6%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90,9%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 64,3%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63,7%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95,5%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90,1%</w:t>
            </w:r>
            <w:r>
              <w:rPr>
                <w:color w:val="auto"/>
              </w:rPr>
            </w:r>
            <w:r/>
          </w:p>
        </w:tc>
        <w:tc>
          <w:tcPr>
            <w:tcW w:w="4004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</w:rPr>
              <w:t xml:space="preserve">Успеваемость 75,7%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95,5%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Качество знаний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 66,3%</w:t>
            </w:r>
            <m:oMath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→</m:t>
              </m:r>
              <m:r>
                <w:rPr>
                  <w:rFonts w:ascii="Cambria Math" w:hAnsi="Cambria Math" w:cs="Cambria Math" w:eastAsia="Cambria Math"/>
                  <w:color w:val="auto"/>
                  <w:sz w:val="24"/>
                </w:rPr>
                <m:rPr/>
                <m:t>90,1%</m:t>
              </m:r>
            </m:oMath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b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 w:val="false"/>
          <w:color w:val="auto"/>
          <w:sz w:val="24"/>
          <w:szCs w:val="24"/>
          <w:highlight w:val="none"/>
        </w:rPr>
        <w:t xml:space="preserve">Вывод:</w:t>
      </w:r>
      <w:r>
        <w:rPr>
          <w:b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szCs w:val="24"/>
          <w:highlight w:val="none"/>
        </w:rPr>
        <w:t xml:space="preserve">Динамика результатов диагностики положительная по всем направлениям за исключением направления «математическая грамотность».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По данному направлению произошло снижение показателей и успеваемости, и качества знаний. Так снижение успеваемости составило 1,7 % ( с 92,6% в 2023-2024 учебном году на 90,9% в 2024-2025 учебном году). Снижение качества знаний в сравнении с прошлым годом произошло на 0,6% (с 64,3% в 2023-2024 учебном году на 63,7% в 2024-2025 учебном году).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Предложения: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1) Информацию принять к сведению.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2) Провести анализ предложенных диагностических работ по ФГ для обучающихся 6,8,9 классов.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3) Ознакомить родителей (законных представителей) обучающихся с результатами итогового тестирования по ФГ.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4) Учителям-предметникам на методических объединениях рассмотреть данный вопрос, выявить проблемы повышения результативности формирования ФГ по направлениям: читательская, математическая, естественнонаучная грамотность.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5) Перед каждым учителем поставить задачу по включению в урок по всем предметам заданий, направленных на развитие вариативности мышления обучающихся и способности применять знания в новой ситуации.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6) Включить в планы работы МО учителей разделы по повышению качества подготовки обучающихся по ФГ.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7) Создать условия по повышению уровня ФГ обучающихся через оптимизацию некоторых компонентов образовательных программ.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8) Создать условия для повышения компетентности педагогических работников по ФГ обучающихся через прохождение курсовой подготовки, проведение открытых уроков, обучающие семинары.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Зам. директора по УВР:          </w:t>
      </w: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              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                            Цымбал Т.Ю.</w:t>
      </w:r>
      <w:r>
        <w:rPr>
          <w:color w:val="auto"/>
        </w:rPr>
      </w:r>
      <w:r/>
    </w:p>
    <w:sectPr>
      <w:footnotePr/>
      <w:endnotePr/>
      <w:type w:val="nextPage"/>
      <w:pgSz w:w="16838" w:h="11906" w:orient="landscape"/>
      <w:pgMar w:top="284" w:right="1134" w:bottom="14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1">
    <w:name w:val="Heading 1"/>
    <w:basedOn w:val="627"/>
    <w:next w:val="627"/>
    <w:link w:val="45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2">
    <w:name w:val="Heading 1 Char"/>
    <w:basedOn w:val="628"/>
    <w:link w:val="451"/>
    <w:uiPriority w:val="9"/>
    <w:rPr>
      <w:rFonts w:ascii="Arial" w:hAnsi="Arial" w:cs="Arial" w:eastAsia="Arial"/>
      <w:sz w:val="40"/>
      <w:szCs w:val="40"/>
    </w:rPr>
  </w:style>
  <w:style w:type="paragraph" w:styleId="453">
    <w:name w:val="Heading 2"/>
    <w:basedOn w:val="627"/>
    <w:next w:val="627"/>
    <w:link w:val="45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4">
    <w:name w:val="Heading 2 Char"/>
    <w:basedOn w:val="628"/>
    <w:link w:val="453"/>
    <w:uiPriority w:val="9"/>
    <w:rPr>
      <w:rFonts w:ascii="Arial" w:hAnsi="Arial" w:cs="Arial" w:eastAsia="Arial"/>
      <w:sz w:val="34"/>
    </w:rPr>
  </w:style>
  <w:style w:type="paragraph" w:styleId="455">
    <w:name w:val="Heading 3"/>
    <w:basedOn w:val="627"/>
    <w:next w:val="627"/>
    <w:link w:val="4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6">
    <w:name w:val="Heading 3 Char"/>
    <w:basedOn w:val="628"/>
    <w:link w:val="455"/>
    <w:uiPriority w:val="9"/>
    <w:rPr>
      <w:rFonts w:ascii="Arial" w:hAnsi="Arial" w:cs="Arial" w:eastAsia="Arial"/>
      <w:sz w:val="30"/>
      <w:szCs w:val="30"/>
    </w:rPr>
  </w:style>
  <w:style w:type="paragraph" w:styleId="457">
    <w:name w:val="Heading 4"/>
    <w:basedOn w:val="627"/>
    <w:next w:val="627"/>
    <w:link w:val="45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8">
    <w:name w:val="Heading 4 Char"/>
    <w:basedOn w:val="628"/>
    <w:link w:val="457"/>
    <w:uiPriority w:val="9"/>
    <w:rPr>
      <w:rFonts w:ascii="Arial" w:hAnsi="Arial" w:cs="Arial" w:eastAsia="Arial"/>
      <w:b/>
      <w:bCs/>
      <w:sz w:val="26"/>
      <w:szCs w:val="26"/>
    </w:rPr>
  </w:style>
  <w:style w:type="paragraph" w:styleId="459">
    <w:name w:val="Heading 5"/>
    <w:basedOn w:val="627"/>
    <w:next w:val="627"/>
    <w:link w:val="46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0">
    <w:name w:val="Heading 5 Char"/>
    <w:basedOn w:val="628"/>
    <w:link w:val="459"/>
    <w:uiPriority w:val="9"/>
    <w:rPr>
      <w:rFonts w:ascii="Arial" w:hAnsi="Arial" w:cs="Arial" w:eastAsia="Arial"/>
      <w:b/>
      <w:bCs/>
      <w:sz w:val="24"/>
      <w:szCs w:val="24"/>
    </w:rPr>
  </w:style>
  <w:style w:type="paragraph" w:styleId="461">
    <w:name w:val="Heading 6"/>
    <w:basedOn w:val="627"/>
    <w:next w:val="627"/>
    <w:link w:val="4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2">
    <w:name w:val="Heading 6 Char"/>
    <w:basedOn w:val="628"/>
    <w:link w:val="461"/>
    <w:uiPriority w:val="9"/>
    <w:rPr>
      <w:rFonts w:ascii="Arial" w:hAnsi="Arial" w:cs="Arial" w:eastAsia="Arial"/>
      <w:b/>
      <w:bCs/>
      <w:sz w:val="22"/>
      <w:szCs w:val="22"/>
    </w:rPr>
  </w:style>
  <w:style w:type="paragraph" w:styleId="463">
    <w:name w:val="Heading 7"/>
    <w:basedOn w:val="627"/>
    <w:next w:val="627"/>
    <w:link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4">
    <w:name w:val="Heading 7 Char"/>
    <w:basedOn w:val="628"/>
    <w:link w:val="4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5">
    <w:name w:val="Heading 8"/>
    <w:basedOn w:val="627"/>
    <w:next w:val="627"/>
    <w:link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6">
    <w:name w:val="Heading 8 Char"/>
    <w:basedOn w:val="628"/>
    <w:link w:val="465"/>
    <w:uiPriority w:val="9"/>
    <w:rPr>
      <w:rFonts w:ascii="Arial" w:hAnsi="Arial" w:cs="Arial" w:eastAsia="Arial"/>
      <w:i/>
      <w:iCs/>
      <w:sz w:val="22"/>
      <w:szCs w:val="22"/>
    </w:rPr>
  </w:style>
  <w:style w:type="paragraph" w:styleId="467">
    <w:name w:val="Heading 9"/>
    <w:basedOn w:val="627"/>
    <w:next w:val="62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8">
    <w:name w:val="Heading 9 Char"/>
    <w:basedOn w:val="628"/>
    <w:link w:val="467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7"/>
    <w:next w:val="627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8"/>
    <w:link w:val="470"/>
    <w:uiPriority w:val="10"/>
    <w:rPr>
      <w:sz w:val="48"/>
      <w:szCs w:val="48"/>
    </w:rPr>
  </w:style>
  <w:style w:type="paragraph" w:styleId="472">
    <w:name w:val="Subtitle"/>
    <w:basedOn w:val="627"/>
    <w:next w:val="627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8"/>
    <w:link w:val="472"/>
    <w:uiPriority w:val="11"/>
    <w:rPr>
      <w:sz w:val="24"/>
      <w:szCs w:val="24"/>
    </w:rPr>
  </w:style>
  <w:style w:type="paragraph" w:styleId="474">
    <w:name w:val="Quote"/>
    <w:basedOn w:val="627"/>
    <w:next w:val="627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7"/>
    <w:next w:val="627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7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8"/>
    <w:link w:val="478"/>
    <w:uiPriority w:val="99"/>
  </w:style>
  <w:style w:type="paragraph" w:styleId="480">
    <w:name w:val="Footer"/>
    <w:basedOn w:val="627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8"/>
    <w:link w:val="480"/>
    <w:uiPriority w:val="99"/>
  </w:style>
  <w:style w:type="paragraph" w:styleId="482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Table Grid Light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>
    <w:name w:val="Plain Table 1"/>
    <w:basedOn w:val="6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2"/>
    <w:basedOn w:val="6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9">
    <w:name w:val="Plain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Plain Table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1">
    <w:name w:val="Grid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3">
    <w:name w:val="Grid Table 4 - Accent 1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4">
    <w:name w:val="Grid Table 4 - Accent 2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5">
    <w:name w:val="Grid Table 4 - Accent 3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6">
    <w:name w:val="Grid Table 4 - Accent 4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7">
    <w:name w:val="Grid Table 4 - Accent 5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8">
    <w:name w:val="Grid Table 4 - Accent 6"/>
    <w:basedOn w:val="6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9">
    <w:name w:val="Grid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6">
    <w:name w:val="Grid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7">
    <w:name w:val="Grid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8">
    <w:name w:val="Grid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9">
    <w:name w:val="Grid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0">
    <w:name w:val="Grid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1">
    <w:name w:val="Grid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8">
    <w:name w:val="List Table 2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9">
    <w:name w:val="List Table 2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0">
    <w:name w:val="List Table 2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1">
    <w:name w:val="List Table 2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2">
    <w:name w:val="List Table 2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3">
    <w:name w:val="List Table 2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4">
    <w:name w:val="List Table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5 Dark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6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6">
    <w:name w:val="List Table 6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7">
    <w:name w:val="List Table 6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8">
    <w:name w:val="List Table 6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9">
    <w:name w:val="List Table 6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0">
    <w:name w:val="List Table 6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1">
    <w:name w:val="List Table 6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2">
    <w:name w:val="List Table 7 Colorful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3">
    <w:name w:val="List Table 7 Colorful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84">
    <w:name w:val="List Table 7 Colorful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5">
    <w:name w:val="List Table 7 Colorful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6">
    <w:name w:val="List Table 7 Colorful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7">
    <w:name w:val="List Table 7 Colorful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88">
    <w:name w:val="List Table 7 Colorful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9">
    <w:name w:val="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 &amp; Lined - Accent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Bordered &amp; Lined - Accent 1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Bordered &amp; Lined - Accent 2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Bordered &amp; Lined - Accent 3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Bordered &amp; Lined - Accent 4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Bordered &amp; Lined - Accent 5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Bordered &amp; Lined - Accent 6"/>
    <w:basedOn w:val="6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4">
    <w:name w:val="Bordered - Accent 1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5">
    <w:name w:val="Bordered - Accent 2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6">
    <w:name w:val="Bordered - Accent 3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7">
    <w:name w:val="Bordered - Accent 4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8">
    <w:name w:val="Bordered - Accent 5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9">
    <w:name w:val="Bordered - Accent 6"/>
    <w:basedOn w:val="6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0">
    <w:name w:val="Hyperlink"/>
    <w:uiPriority w:val="99"/>
    <w:unhideWhenUsed/>
    <w:rPr>
      <w:color w:val="0000FF" w:themeColor="hyperlink"/>
      <w:u w:val="single"/>
    </w:r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8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8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List Paragraph"/>
    <w:basedOn w:val="627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17</cp:revision>
  <dcterms:created xsi:type="dcterms:W3CDTF">2022-02-15T05:26:00Z</dcterms:created>
  <dcterms:modified xsi:type="dcterms:W3CDTF">2025-07-26T20:14:13Z</dcterms:modified>
</cp:coreProperties>
</file>