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Анализ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государственной итоговой аттестации обучающихся 9 класса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муниципального бюджетного общеобразовательного учреждения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«Средняя общеобразовательная школа №5»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Дальнереченского городского округа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2024-2025 учебный год</w:t>
      </w:r>
      <w:r>
        <w:rPr>
          <w:rFonts w:ascii="Times New Roman" w:hAnsi="Times New Roman" w:cs="Times New Roman" w:eastAsia="Times New Roman"/>
          <w:b/>
          <w:sz w:val="28"/>
          <w:highlight w:val="none"/>
          <w:lang w:val="ru-RU"/>
        </w:rPr>
      </w:r>
      <w:r/>
    </w:p>
    <w:p>
      <w:pPr>
        <w:contextualSpacing w:val="true"/>
        <w:ind w:left="0" w:right="-357" w:firstLine="0"/>
        <w:jc w:val="both"/>
        <w:spacing w:lineRule="auto" w:line="240"/>
        <w:rPr>
          <w:rFonts w:ascii="Times New Roman" w:hAnsi="Times New Roman" w:cs="Times New Roman" w:eastAsia="Times New Roman"/>
          <w:color w:val="000000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На к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онец 2024-2025 учебного года в 9 классе обучалось 25 выпускников. Из них 25 обучающихся (100 %) на основании результ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а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тов обучения и решения педагогического совета </w:t>
      </w:r>
      <w:r>
        <w:rPr>
          <w:rFonts w:ascii="Times New Roman" w:hAnsi="Times New Roman" w:cs="Times New Roman" w:eastAsia="Times New Roman"/>
          <w:b w:val="false"/>
          <w:color w:val="auto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auto"/>
          <w:sz w:val="24"/>
          <w:highlight w:val="none"/>
          <w:lang w:val="ru-RU"/>
        </w:rPr>
        <w:t xml:space="preserve">(</w:t>
      </w:r>
      <w:r>
        <w:rPr>
          <w:rFonts w:ascii="Times New Roman" w:hAnsi="Times New Roman" w:cs="Times New Roman" w:eastAsia="Times New Roman"/>
          <w:b w:val="false"/>
          <w:color w:val="auto"/>
          <w:sz w:val="24"/>
          <w:highlight w:val="none"/>
          <w:lang w:val="ru-RU"/>
        </w:rPr>
        <w:t xml:space="preserve">Протокол №10 от 21.05.2025 г.)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были допущены  к государстве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нной итоговой аттестации в форме ОГЭ и ГВЭ. Двадцать четыре выпускника проходили государственную итоговую аттестацию в форме ОГЭ и один выпускник с ОВЗ (ребёнок-инвалид) проходил ГИА в форме ГВЭ только по обязательным предметам (русский язык и математика).</w:t>
      </w:r>
      <w:r/>
    </w:p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Результаты обязательных экзаменов 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p>
      <w:pPr>
        <w:contextualSpacing w:val="true"/>
        <w:ind w:left="0" w:right="-357" w:firstLine="0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(основные сроки)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112"/>
        <w:gridCol w:w="2106"/>
        <w:gridCol w:w="1667"/>
        <w:gridCol w:w="1667"/>
        <w:gridCol w:w="1714"/>
        <w:gridCol w:w="1616"/>
        <w:gridCol w:w="1610"/>
        <w:gridCol w:w="1605"/>
      </w:tblGrid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 сдававших экзамен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 успешно сдавших (с первого раза)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% успеваемости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% качества знаний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10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Средний балл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Не прошли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689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1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Балакина Г.А.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71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1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3,3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0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</w:tr>
      <w:tr>
        <w:trPr>
          <w:trHeight w:val="257"/>
        </w:trPr>
        <w:tc>
          <w:tcPr>
            <w:tcW w:w="1689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1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Кулибаба О.В.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71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1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3,1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60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</w:tr>
    </w:tbl>
    <w:p>
      <w:pPr>
        <w:contextualSpacing w:val="true"/>
        <w:ind w:left="0" w:right="-357" w:firstLine="0"/>
        <w:jc w:val="both"/>
        <w:spacing w:lineRule="auto" w:line="240"/>
        <w:rPr>
          <w:rFonts w:ascii="Times New Roman" w:hAnsi="Times New Roman" w:cs="Times New Roman" w:eastAsia="Times New Roman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По результатам экзаменов в основные сроки 23 выпускника (92%) успешно прошли государственную итоговую аттестацию по математике, двое выпускников не прошли пороговый балл.</w:t>
      </w:r>
      <w:r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  <w:t xml:space="preserve"> По предмету русский язык 20 выпускников (80%) успешно с</w:t>
      </w:r>
      <w:r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  <w:t xml:space="preserve">правились с </w:t>
      </w:r>
      <w:r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  <w:t xml:space="preserve">экзаменационными испытаниями в основные сроки. Пять выпускников не прошли пороговый уровень по предмету.</w:t>
      </w:r>
      <w:r>
        <w:rPr>
          <w:rFonts w:ascii="Times New Roman" w:hAnsi="Times New Roman" w:cs="Times New Roman" w:eastAsia="Times New Roman"/>
          <w:b w:val="false"/>
          <w:i w:val="false"/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По результатам прохождения выпускниками экзаменов по обя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зательным предметам и предметам по выбору на основании Порядка проведения государственной итоговой аттестации по образовательным программам основного общего образования и решения педагогического совета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(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Протокол №12 от 23.06.2025 г.)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17 обучающихся (68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%) успешно завершили государственную итоговую 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аттестацию в основной период; 8 обучающихся (32%), получившие неудовлетворительный результат по одному  или двум учебным предметам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были допущены к повторной государственной итоговой аттестации в резервные сроки.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Итоговые результаты государственной итоговой аттестации 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выпускников 9  класса по обязательным предметам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112"/>
        <w:gridCol w:w="2104"/>
        <w:gridCol w:w="1674"/>
        <w:gridCol w:w="1667"/>
        <w:gridCol w:w="1714"/>
        <w:gridCol w:w="1614"/>
        <w:gridCol w:w="1609"/>
        <w:gridCol w:w="1604"/>
      </w:tblGrid>
      <w:tr>
        <w:trPr/>
        <w:tc>
          <w:tcPr>
            <w:tcW w:w="168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67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lang w:val="ru-RU"/>
              </w:rPr>
              <w:t xml:space="preserve">Форма прохождения ГИА-9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 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% успеваемости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61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% качества знаний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60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Средний балл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6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Не прошли уровень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</w:tr>
      <w:tr>
        <w:trPr>
          <w:trHeight w:val="592"/>
        </w:trPr>
        <w:tc>
          <w:tcPr>
            <w:tcW w:w="1689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Математика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r/>
            <w:r/>
          </w:p>
        </w:tc>
        <w:tc>
          <w:tcPr>
            <w:tcW w:w="21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Балакина Г.А.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r/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  <w:t xml:space="preserve">ГВЭ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16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</w:p>
        </w:tc>
        <w:tc>
          <w:tcPr>
            <w:tcW w:w="1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92"/>
        </w:trPr>
        <w:tc>
          <w:tcPr>
            <w:tcW w:w="1689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1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Кулибаба О.В.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/>
          </w:p>
        </w:tc>
        <w:tc>
          <w:tcPr>
            <w:tcW w:w="16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  <w:t xml:space="preserve">ГВЭ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66,7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6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6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Итоговый результат показывает, что все обучающиеся 9 класса успешно справились с экзаменационными испытаниями по русскому языку и   математике.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В сравнении с 2022-2023 и 2023-2024 учебными годами по обязательным предметам результаты по русскому языку  и математике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highlight w:val="none"/>
          <w:lang w:val="ru-RU"/>
        </w:rPr>
        <w:t xml:space="preserve">снизились. </w:t>
      </w:r>
      <w:r>
        <w:rPr>
          <w:color w:val="000000" w:themeColor="text1"/>
        </w:rPr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highlight w:val="none"/>
          <w:lang w:val="ru-RU"/>
        </w:rPr>
        <w:t xml:space="preserve">Динамика результатов государственной итоговой аттестации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highlight w:val="none"/>
          <w:lang w:val="ru-RU"/>
        </w:rPr>
      </w:r>
      <w:r>
        <w:rPr>
          <w:color w:val="000000" w:themeColor="text1"/>
        </w:rPr>
      </w:r>
    </w:p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в 9-х классах  за 3 года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7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>
        <w:trPr/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год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Форма прохождения ГИА-9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% успеваемости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Средний балл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2022-2023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Григорьева Е.В.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Бондарева С.Н.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ГВЭ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3,9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2023-2024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Железнова С.М.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3,8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2024-2025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ГВЭ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color w:val="000000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  <w:lang w:val="ru-RU"/>
              </w:rPr>
              <w:t xml:space="preserve">100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color w:val="000000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  <w:lang w:val="ru-RU"/>
              </w:rPr>
              <w:t xml:space="preserve">3,4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Математика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7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>
        <w:trPr>
          <w:trHeight w:val="773"/>
        </w:trPr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год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Форма прохождения ГИА-9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% успеваемости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Средний балл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2022-2023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Лескова О.В.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Васильева О.В.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ГВЭ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96,6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3,8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2023-2024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Гайдукова Г.В.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100</w:t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3,8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2024-2025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Балакина Г.А.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ОГЭ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ГВЭ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  <w:lang w:val="ru-RU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  <w:lang w:val="ru-RU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  <w:lang w:val="ru-RU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color w:val="FF0000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FF0000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highlight w:val="none"/>
          <w:lang w:val="ru-RU"/>
        </w:rPr>
        <w:t xml:space="preserve">Динамика результатов ГИА-9 за последние 3 года показывает снижение среднего балла по русскому языку на 0,5 балла (с 3,9 до 3,4)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;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снижение среднего балла по математике на 0,4 балла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highlight w:val="none"/>
          <w:lang w:val="ru-RU"/>
        </w:rPr>
        <w:t xml:space="preserve">(с 3,8 до 3,4).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b w:val="false"/>
          <w:i w:val="false"/>
          <w:color w:val="000000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</w:t>
      </w:r>
      <w:r>
        <w:rPr>
          <w:rFonts w:ascii="Times New Roman" w:hAnsi="Times New Roman" w:cs="Times New Roman" w:eastAsia="Times New Roman"/>
          <w:b w:val="false"/>
          <w:i w:val="false"/>
          <w:color w:val="FF0000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highlight w:val="none"/>
          <w:lang w:val="ru-RU"/>
        </w:rPr>
        <w:t xml:space="preserve">В качестве предметов по выбору в 2024-2025 учебном году выпускники выбрали 6 предметов.</w:t>
      </w:r>
      <w:r>
        <w:rPr>
          <w:color w:val="000000" w:themeColor="text1"/>
        </w:rPr>
      </w:r>
      <w:r/>
    </w:p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color w:val="000000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  <w:highlight w:val="none"/>
          <w:lang w:val="ru-RU"/>
        </w:rPr>
      </w:r>
      <w:r/>
    </w:p>
    <w:tbl>
      <w:tblPr>
        <w:tblStyle w:val="470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6"/>
        <w:gridCol w:w="3696"/>
      </w:tblGrid>
      <w:tr>
        <w:trPr/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 w:themeColor="text1"/>
                <w:sz w:val="24"/>
                <w:highlight w:val="none"/>
                <w:lang w:val="ru-RU"/>
              </w:rPr>
              <w:t xml:space="preserve">Предмет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 w:themeColor="text1"/>
                <w:sz w:val="24"/>
                <w:highlight w:val="none"/>
                <w:lang w:val="ru-RU"/>
              </w:rPr>
              <w:t xml:space="preserve">Учитель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 w:themeColor="text1"/>
                <w:sz w:val="24"/>
                <w:highlight w:val="none"/>
                <w:lang w:val="ru-RU"/>
              </w:rPr>
              <w:t xml:space="preserve">Количество выпускников сдававших экзамен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 w:themeColor="text1"/>
                <w:sz w:val="24"/>
                <w:highlight w:val="none"/>
                <w:lang w:val="ru-RU"/>
              </w:rPr>
              <w:t xml:space="preserve">% от общего количества выпускников, сдававших экзамены по выбору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Мороз И.В.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18</w:t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72</w:t>
            </w:r>
            <w:r/>
          </w:p>
        </w:tc>
      </w:tr>
      <w:tr>
        <w:trPr/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8</w:t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32</w:t>
            </w:r>
            <w:r/>
          </w:p>
        </w:tc>
      </w:tr>
      <w:tr>
        <w:trPr/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6</w:t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24</w:t>
            </w:r>
            <w:r/>
          </w:p>
        </w:tc>
      </w:tr>
      <w:tr>
        <w:trPr/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Козолуп Т.Д.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10</w:t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40</w:t>
            </w:r>
            <w:r/>
          </w:p>
        </w:tc>
      </w:tr>
      <w:tr>
        <w:trPr/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Летовальцева С.Ю.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5</w:t>
            </w:r>
            <w:r/>
          </w:p>
        </w:tc>
        <w:tc>
          <w:tcPr>
            <w:tcW w:w="36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t xml:space="preserve">20</w:t>
            </w:r>
            <w:r/>
          </w:p>
        </w:tc>
      </w:tr>
      <w:tr>
        <w:trPr/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  <w:tc>
          <w:tcPr>
            <w:tcW w:w="369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4</w:t>
            </w:r>
            <w:r/>
          </w:p>
        </w:tc>
      </w:tr>
    </w:tbl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Самыми востребованными предметами по выбору выпускников 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являются  география, физика и информатика. По данным предметам выбор составляет 72%, 40% и 32%  соответственно от об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щего количества выпускников, сдававших экзамены по выбору выпускника. Менее востребованными оказались такие предметы как обществознание, биология. По предметам: история, литература и английский язык выбор предметов для прохождения ГИА отсутствует.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Результаты экзаменов по выбору выпускников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886"/>
        <w:gridCol w:w="886"/>
        <w:gridCol w:w="886"/>
        <w:gridCol w:w="886"/>
        <w:gridCol w:w="1701"/>
        <w:gridCol w:w="1754"/>
        <w:gridCol w:w="1444"/>
      </w:tblGrid>
      <w:tr>
        <w:trPr>
          <w:trHeight w:val="310"/>
        </w:trPr>
        <w:tc>
          <w:tcPr>
            <w:tcW w:w="23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Предмет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gridSpan w:val="4"/>
            <w:tcW w:w="35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Оценка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Качество знаний (в%)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Успеваемость (в %)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44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Средний балл по школе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23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«5»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«4»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«3»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«2»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Мороз И.В.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9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9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4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3,5</w:t>
            </w:r>
            <w:r/>
          </w:p>
        </w:tc>
      </w:tr>
      <w:tr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8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6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25,0</w:t>
            </w:r>
            <w:r>
              <w:rPr>
                <w:color w:val="auto"/>
              </w:rPr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</w:t>
            </w:r>
            <w:r>
              <w:rPr>
                <w:color w:val="auto"/>
              </w:rPr>
            </w:r>
            <w:r/>
          </w:p>
        </w:tc>
        <w:tc>
          <w:tcPr>
            <w:tcW w:w="144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lang w:val="ru-RU"/>
              </w:rPr>
              <w:t xml:space="preserve">3,3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6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5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83,3</w:t>
            </w:r>
            <w:r>
              <w:rPr>
                <w:color w:val="auto"/>
              </w:rPr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lang w:val="ru-RU"/>
              </w:rPr>
              <w:t xml:space="preserve">100</w:t>
            </w:r>
            <w:r>
              <w:rPr>
                <w:color w:val="auto"/>
              </w:rPr>
            </w:r>
            <w:r/>
          </w:p>
        </w:tc>
        <w:tc>
          <w:tcPr>
            <w:tcW w:w="144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3,8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Козолуп Т.Д.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7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30,0</w:t>
            </w:r>
            <w:r>
              <w:rPr>
                <w:color w:val="auto"/>
              </w:rPr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lang w:val="ru-RU"/>
              </w:rPr>
              <w:t xml:space="preserve">100</w:t>
            </w:r>
            <w:r>
              <w:rPr>
                <w:color w:val="auto"/>
              </w:rPr>
            </w:r>
            <w:r/>
          </w:p>
        </w:tc>
        <w:tc>
          <w:tcPr>
            <w:tcW w:w="144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auto"/>
                <w:sz w:val="24"/>
                <w:highlight w:val="none"/>
                <w:lang w:val="ru-RU"/>
              </w:rPr>
              <w:t xml:space="preserve">3,3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Летовальцева С.Ю.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5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5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4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  <w:t xml:space="preserve">4,0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</w:t>
            </w:r>
            <w:r/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5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4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3,0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В текущем учебном году предметы по выбору выпускников сданы успешно с первого раза по всем предметам за исключением физики и информатики.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Успеваемость составляет 100%.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Самые высокие показатели качества знаний обучающихся наблюдаются по предметам  биология, химия.Самые низкие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 результаты обучения по предмету обществознание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 (качество знаний составляет 0%). </w:t>
      </w: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 </w:t>
      </w:r>
      <w:r>
        <w:rPr>
          <w:color w:val="auto"/>
        </w:rPr>
      </w:r>
      <w:r/>
    </w:p>
    <w:p>
      <w:pPr>
        <w:jc w:val="center"/>
        <w:rPr>
          <w:rFonts w:ascii="Times New Roman" w:hAnsi="Times New Roman" w:cs="Times New Roman" w:eastAsia="Times New Roman"/>
          <w:highlight w:val="none"/>
          <w:lang w:val="ru-RU"/>
        </w:rPr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Результаты экзаменов по выбору выпускников за 3 года</w:t>
      </w:r>
      <w:r>
        <w:rPr>
          <w:rFonts w:ascii="Times New Roman" w:hAnsi="Times New Roman" w:cs="Times New Roman" w:eastAsia="Times New Roman"/>
          <w:highlight w:val="none"/>
          <w:lang w:val="ru-RU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2072"/>
        <w:gridCol w:w="2106"/>
        <w:gridCol w:w="2106"/>
        <w:gridCol w:w="2106"/>
        <w:gridCol w:w="2106"/>
        <w:gridCol w:w="2106"/>
        <w:gridCol w:w="2106"/>
      </w:tblGrid>
      <w:tr>
        <w:trPr/>
        <w:tc>
          <w:tcPr>
            <w:tcW w:w="20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gridSpan w:val="3"/>
            <w:tcW w:w="6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Успеваемость (в %)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gridSpan w:val="3"/>
            <w:tcW w:w="63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Средний балл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>
          <w:trHeight w:val="253"/>
        </w:trPr>
        <w:tc>
          <w:tcPr>
            <w:tcW w:w="20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2022-2023 г.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2023-2024 г.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2024-2025 г.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2022-2023 г.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2023-2024 г.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2024-2025 г.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</w:tr>
      <w:tr>
        <w:trPr>
          <w:trHeight w:val="253"/>
        </w:trPr>
        <w:tc>
          <w:tcPr>
            <w:tcW w:w="2072" w:type="dxa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3,0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3,0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072" w:type="dxa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072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072" w:type="dxa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4,3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4,2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3,8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072" w:type="dxa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4,0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4,8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4,0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072" w:type="dxa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highlight w:val="none"/>
                <w:lang w:val="ru-RU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95,5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3,9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4,2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3,5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072" w:type="dxa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highlight w:val="none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3,0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3,3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3,3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2072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spacing w:lineRule="auto" w:line="240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highlight w:val="none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94,7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3,1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  <w:tc>
          <w:tcPr>
            <w:tcW w:w="21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3,3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</w:tbl>
    <w:p>
      <w:pPr>
        <w:contextualSpacing w:val="true"/>
        <w:jc w:val="both"/>
        <w:spacing w:lineRule="auto" w:line="240"/>
        <w:rPr>
          <w:rFonts w:ascii="Times New Roman" w:hAnsi="Times New Roman" w:cs="Times New Roman" w:eastAsia="Times New Roman"/>
          <w:color w:val="auto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color w:val="auto"/>
          <w:sz w:val="24"/>
          <w:highlight w:val="none"/>
          <w:lang w:val="ru-RU"/>
        </w:rPr>
        <w:t xml:space="preserve">Как видно из таблицы в 2024-2025 учебном году идёт снижение показателей практически по всем предметам</w:t>
      </w:r>
      <w:r>
        <w:rPr>
          <w:rFonts w:ascii="Times New Roman" w:hAnsi="Times New Roman" w:cs="Times New Roman" w:eastAsia="Times New Roman"/>
          <w:color w:val="auto"/>
          <w:sz w:val="24"/>
          <w:lang w:val="ru-RU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4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8"/>
          <w:highlight w:val="none"/>
          <w:lang w:val="ru-RU"/>
        </w:rPr>
        <w:t xml:space="preserve">Анализ экзаменов по предметам естественно-научного цикла</w:t>
      </w:r>
      <w:r>
        <w:rPr>
          <w:color w:val="auto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i/>
          <w:sz w:val="24"/>
          <w:szCs w:val="28"/>
        </w:rPr>
        <w:t xml:space="preserve">Анализ экзаменационных работ по физике</w:t>
      </w:r>
      <w:r>
        <w:rPr>
          <w:b/>
          <w:i/>
          <w:sz w:val="24"/>
          <w:highlight w:val="none"/>
        </w:rPr>
        <w:t xml:space="preserve"> (работающий учитель- Козолуп Т.Д.)</w:t>
      </w:r>
      <w:r/>
    </w:p>
    <w:p>
      <w:pPr>
        <w:pStyle w:val="634"/>
        <w:jc w:val="both"/>
        <w:rPr>
          <w:highlight w:val="none"/>
        </w:rPr>
      </w:pPr>
      <w:r>
        <w:rPr>
          <w:b w:val="false"/>
          <w:sz w:val="24"/>
          <w:szCs w:val="28"/>
          <w:highlight w:val="none"/>
        </w:rPr>
        <w:t xml:space="preserve">     Из 25 обучающихся, допущенных к государственной итоговой аттестации, 10 ч. (40% от  числа обучающихся, сдававших экзамены по выбору выпускника) сдавали экзамен в форме ОГЭ  по предмету.</w:t>
      </w:r>
      <w:r>
        <w:rPr>
          <w:sz w:val="24"/>
          <w:highlight w:val="none"/>
        </w:rPr>
      </w:r>
      <w:r/>
    </w:p>
    <w:p>
      <w:pPr>
        <w:pStyle w:val="634"/>
        <w:jc w:val="center"/>
      </w:pPr>
      <w:r>
        <w:rPr>
          <w:b/>
          <w:sz w:val="28"/>
          <w:szCs w:val="28"/>
          <w:highlight w:val="none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2141"/>
        <w:gridCol w:w="3428"/>
        <w:gridCol w:w="3428"/>
        <w:gridCol w:w="3428"/>
      </w:tblGrid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Оценка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Количество обучающихся</w:t>
            </w:r>
            <w:r/>
          </w:p>
        </w:tc>
        <w:tc>
          <w:tcPr>
            <w:tcW w:w="3428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Средний балл</w:t>
            </w:r>
            <w:r/>
          </w:p>
        </w:tc>
        <w:tc>
          <w:tcPr>
            <w:tcW w:w="3428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Процент успеваемости</w:t>
            </w:r>
            <w:r/>
          </w:p>
        </w:tc>
        <w:tc>
          <w:tcPr>
            <w:tcW w:w="3428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Процент качества знаний</w:t>
            </w:r>
            <w:r/>
          </w:p>
        </w:tc>
      </w:tr>
      <w:tr>
        <w:trPr>
          <w:trHeight w:val="327"/>
        </w:trPr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«5»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0</w:t>
            </w:r>
            <w:r/>
          </w:p>
        </w:tc>
        <w:tc>
          <w:tcPr>
            <w:tcW w:w="3428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  <w:r/>
          </w:p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8"/>
              </w:rPr>
              <w:t xml:space="preserve">3,3</w:t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  <w:r/>
          </w:p>
        </w:tc>
        <w:tc>
          <w:tcPr>
            <w:tcW w:w="3428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  <w:r/>
          </w:p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  <w:r/>
          </w:p>
        </w:tc>
        <w:tc>
          <w:tcPr>
            <w:tcW w:w="3428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  <w:r/>
          </w:p>
          <w:p>
            <w:pPr>
              <w:pStyle w:val="634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8"/>
                <w:szCs w:val="28"/>
              </w:rPr>
              <w:t xml:space="preserve">30,0%</w:t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«4»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2</w:t>
            </w:r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«3»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7</w:t>
            </w:r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«2»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1</w:t>
            </w:r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634"/>
        <w:jc w:val="center"/>
      </w:pPr>
      <w:r>
        <w:rPr>
          <w:b w:val="false"/>
          <w:sz w:val="28"/>
          <w:szCs w:val="28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sz w:val="24"/>
          <w:szCs w:val="28"/>
        </w:rPr>
        <w:t xml:space="preserve">Выполнение заданий КИМ</w:t>
      </w:r>
      <w:r>
        <w:rPr>
          <w:b/>
          <w:sz w:val="24"/>
          <w:szCs w:val="28"/>
        </w:rPr>
        <w:t xml:space="preserve"> в форме ОГЭ</w:t>
      </w:r>
      <w:r>
        <w:rPr>
          <w:sz w:val="24"/>
          <w:highlight w:val="none"/>
        </w:rPr>
      </w:r>
      <w:r/>
    </w:p>
    <w:p>
      <w:pPr>
        <w:pStyle w:val="634"/>
        <w:jc w:val="center"/>
      </w:pPr>
      <w:r>
        <w:rPr>
          <w:b/>
          <w:sz w:val="24"/>
          <w:szCs w:val="28"/>
        </w:rPr>
      </w:r>
      <w:r>
        <w:rPr>
          <w:sz w:val="24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>
        <w:trPr>
          <w:trHeight w:val="591"/>
        </w:trPr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Характер выполнения задания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Задания с кратким ответом (№1-16)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Задания с развёрнутым ответом (№17-22)</w:t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Выполнили полностью без ошибок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Выполнили частично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10ч. (100,0%)</w:t>
            </w:r>
            <w:r>
              <w:rPr>
                <w:color w:val="auto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10ч.(100,0%)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Не приступали к выполнению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</w:tr>
    </w:tbl>
    <w:p>
      <w:pPr>
        <w:pStyle w:val="634"/>
        <w:jc w:val="center"/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sz w:val="24"/>
          <w:szCs w:val="28"/>
        </w:rPr>
        <w:t xml:space="preserve">Анализ выполнения заданий КИМ ОГЭ</w:t>
      </w:r>
      <w:r>
        <w:rPr>
          <w:sz w:val="24"/>
          <w:highlight w:val="none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9496"/>
        <w:gridCol w:w="1276"/>
        <w:gridCol w:w="2693"/>
      </w:tblGrid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№ задания</w:t>
            </w:r>
            <w:r>
              <w:rPr>
                <w:highlight w:val="none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 xml:space="preserve">Предметный результат</w:t>
            </w:r>
            <w:r>
              <w:rPr>
                <w:highlight w:val="none"/>
              </w:rPr>
            </w:r>
            <w:r/>
          </w:p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Характер задания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Решаемость в %, количество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Приводить примеры явлений, приборов, физических величин и единиц их измерения. Правильно трактовать физический смысл используемых величин, их обозначения и единицы измерения.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8 ч.(%)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2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Различать явления и закономерности, лежащие в основе принципа действия машин, приборов и технических устройств. Выделять приборы для измерения физических величин.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8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3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Распознавать проявление изученных физических явлений, выделяя их существенные свойства/признаки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7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Описывать свойства явления по его характерным признакам и на основе опытов, демонстрирующих данное физическое явление.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Различать для данного явления основные свойства или условия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его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протекания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8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Объяснять особенности протекания физических явлений, использовать физические величины и законы для объяснения.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6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Характеризовать свойства тел и физические явления, используя физические величины и законы, вычислять значение величины при анализе явлений с использованием физических моделей, законов и формул.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9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7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Характеризовать свойства тел и физические явления, используя физические величины и законы, вычислять значение величины при анализе явлений с использованием физических моделей, законов и формул.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907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8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Характеризовать свойства тел и физические явления, используя физические величины и законы, вычислять значение величины при анализе явлений с использованием физических моделей, законов и формул.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9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Характеризовать свойства тел и физические явления, используя физические величины и законы, вычислять значение величины при анализе явлений с использованием физических моделей, законов и формул.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7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10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Характеризовать свойства тел и физические явления, используя физические величины и законы, вычислять значение величины при анализе явлений с использованием физических моделей, законов и формул.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8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Характеризовать свойства тел и физические явления, используя физические величины и законы, вычислять значение величины при анализе явлений с использованием физических моделей, законов и формул.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8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Описывать изменения физических величин при протекании физических явлений и процессов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6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625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13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Описывать изменения физических величин при протекании физических явлений и процессов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Описывать свойства тел, физические явления и процессы, используя физические величины, физические законы и принципы (анализ графиков, таблиц и схем)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6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15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, выбирать оборудование по гипотезе опыта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6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7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17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9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53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18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Применять информацию из текста при решении учебно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познавательных и учебно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практических задач.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19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Объяснять физические процессы и свойства тел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 ч. (%)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20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Решать расчётные задачи, используя законы и формулы, связывающие физические величины.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 ч. (0%)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21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Решать расчётные задачи, используя законы и формулы, связывающие физические величины.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 ч. (0%)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4"/>
                <w:highlight w:val="none"/>
              </w:rPr>
            </w:pPr>
            <w:r>
              <w:rPr>
                <w:b w:val="false"/>
                <w:sz w:val="24"/>
                <w:highlight w:val="none"/>
              </w:rPr>
              <w:t xml:space="preserve">22</w:t>
            </w:r>
            <w:r>
              <w:rPr>
                <w:sz w:val="24"/>
              </w:rPr>
            </w:r>
            <w:r/>
          </w:p>
        </w:tc>
        <w:tc>
          <w:tcPr>
            <w:tcW w:w="949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Решать расчётные задачи, используя законы и формулы, связывающие физические величины (комбинированные задачи).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 ч. (0%)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634"/>
        <w:jc w:val="center"/>
        <w:rPr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634"/>
        <w:jc w:val="both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  <w:t xml:space="preserve">Вывод: </w:t>
      </w: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</w:rPr>
        <w:t xml:space="preserve">обучающиеся,выбравшие экзамен по физике при решении заданий КИМ ОГЭ</w:t>
      </w: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</w:rPr>
        <w:t xml:space="preserve"> п</w:t>
      </w: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</w:rPr>
        <w:t xml:space="preserve">риступали к заданиям различного уровня сложности (базовый, повышенный, вы</w:t>
      </w: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</w:rPr>
        <w:t xml:space="preserve">сокий). Нужно отметить , что основная масса заданий в экзаменационных работах выполнена на базовом уровне. Обучающиеся приступают к решению второй части КИМа (задания №17-19), не приступают к решению заданий №20, 21, 22.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b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Не сформированы умения обучаю</w:t>
      </w:r>
      <w:r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  <w:t xml:space="preserve">щих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ся на </w:t>
      </w:r>
      <w:r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повышенном и высоком уровне:</w:t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1.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Решать расчётные задачи, используя законы и формулы, связывающие физические величины.</w:t>
      </w:r>
      <w:r>
        <w:rPr>
          <w:rFonts w:ascii="Times New Roman" w:hAnsi="Times New Roman" w:cs="Times New Roman" w:eastAsia="Times New Roman"/>
        </w:rPr>
      </w:r>
      <w:r/>
    </w:p>
    <w:p>
      <w:pPr>
        <w:contextualSpacing w:val="true"/>
        <w:jc w:val="both"/>
        <w:suppressLineNumbers w:val="0"/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2.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Решать расчётные задачи, используя законы и формулы, связывающие физические величины (комбинированные задачи).</w:t>
      </w:r>
      <w:r>
        <w:rPr>
          <w:rFonts w:ascii="Times New Roman" w:hAnsi="Times New Roman" w:cs="Times New Roman" w:eastAsia="Times New Roman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sz w:val="24"/>
          <w:szCs w:val="28"/>
        </w:rPr>
        <w:t xml:space="preserve">Анализ экзаменационных работ по химии</w:t>
      </w:r>
      <w:r>
        <w:rPr>
          <w:rFonts w:ascii="Times New Roman" w:hAnsi="Times New Roman" w:cs="Times New Roman" w:eastAsia="Times New Roman"/>
          <w:b/>
          <w:i/>
          <w:lang w:val="ru-RU"/>
        </w:rPr>
        <w:t xml:space="preserve"> (работающий учитель- Цымбал Т.Ю.)</w:t>
      </w:r>
      <w:r/>
    </w:p>
    <w:p>
      <w:pPr>
        <w:pStyle w:val="634"/>
        <w:contextualSpacing w:val="true"/>
        <w:jc w:val="left"/>
        <w:rPr>
          <w:highlight w:val="none"/>
        </w:rPr>
        <w:suppressLineNumbers w:val="0"/>
      </w:pPr>
      <w:r>
        <w:rPr>
          <w:b w:val="false"/>
          <w:sz w:val="28"/>
          <w:szCs w:val="28"/>
          <w:highlight w:val="none"/>
        </w:rPr>
        <w:t xml:space="preserve">   </w:t>
      </w:r>
      <w:r>
        <w:rPr>
          <w:b w:val="false"/>
          <w:sz w:val="24"/>
          <w:szCs w:val="28"/>
          <w:highlight w:val="none"/>
        </w:rPr>
        <w:t xml:space="preserve">  Из 35 обучающихся, допущенных к государственной итоговой аттестации, 11 ч. (31,4% </w:t>
      </w:r>
      <w:r>
        <w:rPr>
          <w:b w:val="false"/>
          <w:sz w:val="24"/>
          <w:szCs w:val="28"/>
          <w:highlight w:val="none"/>
        </w:rPr>
        <w:t xml:space="preserve">от числа обучающихся, сдававших экзамены по выбору выпускника</w:t>
      </w:r>
      <w:r>
        <w:rPr>
          <w:b w:val="false"/>
          <w:sz w:val="24"/>
          <w:szCs w:val="28"/>
          <w:highlight w:val="none"/>
        </w:rPr>
        <w:t xml:space="preserve">) сдавали экзамен в форме ОГЭ  по предмету.</w:t>
      </w:r>
      <w:r>
        <w:rPr>
          <w:b/>
          <w:sz w:val="28"/>
          <w:szCs w:val="28"/>
          <w:highlight w:val="none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2786"/>
        <w:gridCol w:w="3213"/>
        <w:gridCol w:w="3213"/>
        <w:gridCol w:w="3213"/>
      </w:tblGrid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Оценка</w:t>
            </w:r>
            <w:r/>
          </w:p>
        </w:tc>
        <w:tc>
          <w:tcPr>
            <w:tcW w:w="2786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Количество обучающихся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Средний балл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Процент успеваемости</w:t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Процент качества знаний</w:t>
            </w:r>
            <w:r/>
          </w:p>
        </w:tc>
      </w:tr>
      <w:tr>
        <w:trPr>
          <w:trHeight w:val="327"/>
        </w:trPr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«5»</w:t>
            </w:r>
            <w:r/>
          </w:p>
        </w:tc>
        <w:tc>
          <w:tcPr>
            <w:tcW w:w="2786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0</w:t>
            </w:r>
            <w:r/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</w:r>
            <w:r/>
          </w:p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3,8</w:t>
            </w:r>
            <w:r/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</w:r>
            <w:r/>
          </w:p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100%</w:t>
            </w:r>
            <w:r/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</w:r>
            <w:r/>
          </w:p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83,3%</w:t>
            </w:r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«4»</w:t>
            </w:r>
            <w:r/>
          </w:p>
        </w:tc>
        <w:tc>
          <w:tcPr>
            <w:tcW w:w="2786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5</w:t>
            </w:r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«3»</w:t>
            </w:r>
            <w:r/>
          </w:p>
        </w:tc>
        <w:tc>
          <w:tcPr>
            <w:tcW w:w="2786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1</w:t>
            </w:r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«2»</w:t>
            </w:r>
            <w:r/>
          </w:p>
        </w:tc>
        <w:tc>
          <w:tcPr>
            <w:tcW w:w="2786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0</w:t>
            </w:r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634"/>
        <w:jc w:val="center"/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sz w:val="24"/>
          <w:szCs w:val="28"/>
        </w:rPr>
        <w:t xml:space="preserve">Выполнение заданий КИМ</w:t>
      </w:r>
      <w:r>
        <w:rPr>
          <w:b/>
          <w:sz w:val="24"/>
          <w:szCs w:val="28"/>
        </w:rPr>
        <w:t xml:space="preserve"> в форме ОГЭ</w:t>
      </w:r>
      <w:r>
        <w:rPr>
          <w:sz w:val="24"/>
          <w:highlight w:val="none"/>
        </w:rPr>
      </w:r>
      <w:r/>
    </w:p>
    <w:p>
      <w:pPr>
        <w:pStyle w:val="634"/>
        <w:jc w:val="center"/>
      </w:pPr>
      <w:r>
        <w:rPr>
          <w:b/>
          <w:sz w:val="24"/>
          <w:szCs w:val="28"/>
        </w:rPr>
      </w:r>
      <w:r>
        <w:rPr>
          <w:sz w:val="24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3641"/>
        <w:gridCol w:w="3641"/>
        <w:gridCol w:w="3641"/>
        <w:gridCol w:w="3641"/>
      </w:tblGrid>
      <w:tr>
        <w:trPr>
          <w:trHeight w:val="591"/>
        </w:trPr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Характер выполнения задания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Задания с кратким ответом (№1-19)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Задания с развёрнутым ответом (№20-23)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</w:pPr>
            <w:r>
              <w:rPr>
                <w:b/>
                <w:i/>
                <w:sz w:val="24"/>
              </w:rPr>
              <w:t xml:space="preserve">Эксперимент (№24)</w:t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Выполнили полностью без ошибок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5 ч. (83,3%)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Выполнили частично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6ч. (100,0%)</w:t>
            </w:r>
            <w:r>
              <w:rPr>
                <w:color w:val="auto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6ч.(100,0%)</w:t>
            </w:r>
            <w:r>
              <w:rPr>
                <w:color w:val="auto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Не приступали к выполнению</w:t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3641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</w:tr>
    </w:tbl>
    <w:p>
      <w:pPr>
        <w:pStyle w:val="634"/>
        <w:jc w:val="center"/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sz w:val="24"/>
          <w:szCs w:val="28"/>
        </w:rPr>
        <w:t xml:space="preserve">Анализ выполнения заданий КИМ ОГЭ</w:t>
      </w:r>
      <w:r>
        <w:rPr>
          <w:sz w:val="24"/>
          <w:highlight w:val="none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0063"/>
        <w:gridCol w:w="1276"/>
        <w:gridCol w:w="2125"/>
      </w:tblGrid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№ задания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highlight w:val="none"/>
              </w:rPr>
            </w:r>
            <w:r>
              <w:rPr>
                <w:b/>
                <w:i/>
              </w:rPr>
              <w:t xml:space="preserve">Проверяемые требования к результатам освоения образовательной программы</w:t>
            </w:r>
            <w:r>
              <w:rPr>
                <w:highlight w:val="none"/>
              </w:rPr>
            </w:r>
            <w:r/>
          </w:p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Характер задания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Решаемость в %, количество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Владение системой химических знаний и умение применять систему химических знаний; умение интерпретировать; владение основами химической грамотности.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объяснять связь по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ложения элементов ПСХЭ с числовыми характеристиками строения атомов химических элементов, распределением электронов по энергетическим уровням атомов первых трёх периодов,калия и кальция; умение использовать модели для объяснения строения атомов и молекул.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(83,3%)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Представление о периодической зависимости свойств химических элементов, простых и сложных веществ от положения элементов в ПСХЭ и электронного строения атома.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определять валентность и степень окисления химических элементов, заряд иона.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определять вид химической связи и тип кристаллической структуры в соединениях.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Представление о периодической зависимости свойств химических элементов, простых и сложных веществ от положения элемен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тов в ПСХЭ и электронного строения атома; умение объяснять связь положения элемента в ПСХЭ с числовыми характеристиками строения атомов химических элементов, распределением электронов по энергетическим уровням атомов первых трёх периодов, калия и кальция.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классифицировать неорганические вещества.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характеризовать физические и химические свойства простых веществ; сложных веществ, в том числе их водных растворов.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(66,7%)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характеризовать физические и химические свойства простых веществ;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сложных веществ, в том числе их водных растворов;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применения химических превращений в различных условиях.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10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характеризовать физические и химические свойства,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 ч. (33,3%)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11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классифицировать химические реакции.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 ч. (16,7%)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Наличие практических навыков планирования и осуществления следующих химических экспериментов: изучение и описание физических свойств веществ; ознакомление с физическими и химическими явлениями; опыты, иллюстрирующие признаки протекания химических реакций.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(66,7%)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13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Владение системой химических знаний и умение применять систему химических знаний, которая включает теорию электролитической диссоциации.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(66,7%)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14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составлять молекулярные и ионные уравнения реакций (в том числе) реакций ионного обмена.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(83,3%)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15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Владение системой химических знаний и умение применять систему химических знаний, которая включает важнейшие химические понятия: ОВР, окислитель и восстановитель; умение определять окислитель и восстановитель.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(83,3%)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16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Владение</w:t>
            </w:r>
            <w:r>
              <w:rPr>
                <w:rFonts w:ascii="Times New Roman" w:hAnsi="Times New Roman" w:cs="Times New Roman" w:eastAsia="Times New Roman"/>
                <w:sz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знание основ: безопасной работы с химическими веществами, химической посудой и лабораторным оборудованием; правил безопасного обращения с веществам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и, используемыми в повседневной жизни, правил поведения в целях сбережения здоровья и окружающей природной среды; понимание вреда (опасности) воздействия на живые организмы определённых веществ; способов уменьшения и предотвращения их вредного воздействия.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17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Наличие практических навыков планирования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и осуществления следующих химических экспериментов: применение индикаторов для определения характера среды; химические эксперименты, иллюстрирующие признаки протекания реакций ионного обмена; качественные реакции на присутствующие в водных растворах ионы.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ч.(66,7%)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18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Владение основами химической грамотности, включающей: наличие опыта работы с различными источниками информации по химии; умение интегрировать химические знания со знаниями других учебных предметов.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(66,7%)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19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Представления о закономерностях и познаваемости явлений природы, понимание объективной значимости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 владение основами химической грамотности.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20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составлять молекулярные и ионные уравнения реакций, в том числе ОВР.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21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составлять молекулярные и ионные уравнения реакций, в том числе: реакций ионного обмена, ОВР, иллюстрирующих химические свойства изученных классов</w:t>
            </w:r>
            <w:r>
              <w:rPr>
                <w:rFonts w:ascii="Times New Roman" w:hAnsi="Times New Roman" w:cs="Times New Roman" w:eastAsia="Times New Roman"/>
                <w:sz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групп неорганических веществ, подтверждающих генетическую взаимосвязь между ними.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(66,7%)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Умение вычислять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проводить расчёты массовой доли вещества в растворе; по уравнениям химических реакций находить количество вещества, объём и массу реагентов или продуктов реакции.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23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Наличие практических навыков планирования и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осуществления следующих химических экспериментов: прогнозировать и характеризовать свойства веществ в зависимости от их состава  и строения, применение веществ в зависимости от их свойств, возможность протекания химических превращений в различных условиях.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sz w:val="28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(83,3%)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24</w:t>
            </w:r>
            <w:r>
              <w:rPr>
                <w:highlight w:val="none"/>
              </w:rPr>
            </w:r>
            <w:r/>
          </w:p>
        </w:tc>
        <w:tc>
          <w:tcPr>
            <w:tcW w:w="1006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Владение</w:t>
            </w:r>
            <w:r>
              <w:rPr>
                <w:rFonts w:ascii="Times New Roman" w:hAnsi="Times New Roman" w:cs="Times New Roman" w:eastAsia="Times New Roman"/>
                <w:sz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знание основ:основными методами научного познания при изучении веществ и химических явлений; умение сформулировать проблему и предложить пути её реше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ния;безопасной работы с химическими веществами, химической посудой и лабораторным оборудованием;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ч.(83,3%)</w:t>
            </w:r>
            <w:r>
              <w:rPr>
                <w:color w:val="auto"/>
              </w:rPr>
            </w:r>
            <w:r/>
          </w:p>
        </w:tc>
      </w:tr>
    </w:tbl>
    <w:p>
      <w:pPr>
        <w:pStyle w:val="634"/>
        <w:jc w:val="center"/>
        <w:rPr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634"/>
        <w:jc w:val="both"/>
        <w:rPr>
          <w:color w:val="auto"/>
          <w:highlight w:val="none"/>
        </w:rPr>
      </w:pPr>
      <w:r>
        <w:rPr>
          <w:b/>
          <w:sz w:val="24"/>
          <w:szCs w:val="28"/>
          <w:highlight w:val="none"/>
        </w:rPr>
        <w:t xml:space="preserve">Вывод: </w:t>
      </w:r>
      <w:r>
        <w:rPr>
          <w:b w:val="false"/>
          <w:sz w:val="24"/>
          <w:szCs w:val="28"/>
          <w:highlight w:val="none"/>
        </w:rPr>
        <w:t xml:space="preserve">обучающиеся, выбравшие экзамен по химии при решении заданий КИМ ОГЭ</w:t>
      </w:r>
      <w:r>
        <w:rPr>
          <w:b w:val="false"/>
          <w:sz w:val="24"/>
          <w:szCs w:val="28"/>
          <w:highlight w:val="none"/>
        </w:rPr>
        <w:t xml:space="preserve"> приступали к заданиям различного уровня сложности (базовый, повышенный, высокий). Нужно отметить , что  практически </w:t>
      </w:r>
      <w:r>
        <w:rPr>
          <w:b w:val="false"/>
          <w:color w:val="auto"/>
          <w:sz w:val="24"/>
          <w:szCs w:val="28"/>
          <w:highlight w:val="none"/>
        </w:rPr>
        <w:t xml:space="preserve">все  участники экзамена  массово приступали к  выполнению заданий  высокого уровня сложности из второй части КИМ ОГЭ.</w:t>
      </w:r>
      <w:r>
        <w:rPr>
          <w:b w:val="false"/>
          <w:color w:val="auto"/>
          <w:sz w:val="24"/>
          <w:szCs w:val="28"/>
          <w:highlight w:val="none"/>
        </w:rPr>
        <w:t xml:space="preserve"> Практическая часть выполнена </w:t>
      </w:r>
      <w:r>
        <w:rPr>
          <w:b w:val="false"/>
          <w:color w:val="auto"/>
          <w:sz w:val="24"/>
          <w:szCs w:val="28"/>
          <w:highlight w:val="none"/>
        </w:rPr>
        <w:t xml:space="preserve">5 обучающимися (83,3% от общего количества участников экзамена).</w:t>
      </w:r>
      <w:r>
        <w:rPr>
          <w:color w:val="auto"/>
        </w:rPr>
      </w:r>
      <w:r/>
    </w:p>
    <w:p>
      <w:pPr>
        <w:pStyle w:val="634"/>
        <w:jc w:val="both"/>
        <w:rPr>
          <w:b/>
          <w:sz w:val="24"/>
          <w:szCs w:val="28"/>
          <w:highlight w:val="none"/>
        </w:rPr>
      </w:pPr>
      <w:r>
        <w:rPr>
          <w:b/>
          <w:sz w:val="24"/>
          <w:szCs w:val="28"/>
          <w:highlight w:val="none"/>
        </w:rPr>
        <w:t xml:space="preserve">На низком уровне сформированы умения обучающихся: </w:t>
      </w:r>
      <w:r>
        <w:rPr>
          <w:b/>
          <w:sz w:val="24"/>
          <w:szCs w:val="28"/>
          <w:highlight w:val="none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FF0000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1</w:t>
      </w:r>
      <w:r>
        <w:rPr>
          <w:rFonts w:ascii="Times New Roman" w:hAnsi="Times New Roman" w:cs="Times New Roman" w:eastAsia="Times New Roman"/>
          <w:color w:val="FF0000"/>
          <w:sz w:val="24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Представления о закономерностях и познаваемости явлений природы, понимание объективной значимости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 владение основами химической грамотности.</w:t>
      </w:r>
      <w:r>
        <w:rPr>
          <w:rFonts w:ascii="Times New Roman" w:hAnsi="Times New Roman" w:cs="Times New Roman" w:eastAsia="Times New Roman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i/>
          <w:sz w:val="24"/>
          <w:szCs w:val="28"/>
        </w:rPr>
        <w:t xml:space="preserve">Анализ экзаменационных работ по биологии</w:t>
      </w:r>
      <w:r>
        <w:rPr>
          <w:b/>
          <w:i/>
          <w:sz w:val="24"/>
          <w:highlight w:val="none"/>
        </w:rPr>
        <w:t xml:space="preserve"> (работающий учитель - Летовальцева С.Ю.)</w:t>
      </w:r>
      <w:r/>
    </w:p>
    <w:p>
      <w:pPr>
        <w:pStyle w:val="634"/>
        <w:jc w:val="both"/>
        <w:rPr>
          <w:sz w:val="28"/>
          <w:szCs w:val="28"/>
          <w:highlight w:val="none"/>
        </w:rPr>
      </w:pPr>
      <w:r>
        <w:rPr>
          <w:b w:val="false"/>
          <w:sz w:val="28"/>
          <w:szCs w:val="28"/>
          <w:highlight w:val="none"/>
        </w:rPr>
        <w:t xml:space="preserve">   </w:t>
      </w:r>
      <w:r>
        <w:rPr>
          <w:b w:val="false"/>
          <w:sz w:val="24"/>
          <w:szCs w:val="28"/>
          <w:highlight w:val="none"/>
        </w:rPr>
        <w:t xml:space="preserve">  Из 25 обучающихся, допущенных к государственной итоговой аттестации, 5 ч. (20% </w:t>
      </w:r>
      <w:r>
        <w:rPr>
          <w:b w:val="false"/>
          <w:sz w:val="24"/>
          <w:szCs w:val="28"/>
          <w:highlight w:val="none"/>
        </w:rPr>
        <w:t xml:space="preserve">от числа обучающихся, сдававших экзамены по выбору выпускника</w:t>
      </w:r>
      <w:r>
        <w:rPr>
          <w:b w:val="false"/>
          <w:sz w:val="24"/>
          <w:szCs w:val="28"/>
          <w:highlight w:val="none"/>
        </w:rPr>
        <w:t xml:space="preserve">) сдавали экзамен в форме ОГЭ  по предмету.</w:t>
      </w:r>
      <w:r>
        <w:rPr>
          <w:sz w:val="24"/>
          <w:highlight w:val="none"/>
        </w:rPr>
      </w:r>
      <w:r/>
    </w:p>
    <w:p>
      <w:pPr>
        <w:pStyle w:val="634"/>
        <w:jc w:val="center"/>
      </w:pPr>
      <w:r>
        <w:rPr>
          <w:b/>
          <w:sz w:val="28"/>
          <w:szCs w:val="28"/>
          <w:highlight w:val="none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2141"/>
        <w:gridCol w:w="3428"/>
        <w:gridCol w:w="3428"/>
        <w:gridCol w:w="3428"/>
      </w:tblGrid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Оценка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Количество обучающихся</w:t>
            </w:r>
            <w:r/>
          </w:p>
        </w:tc>
        <w:tc>
          <w:tcPr>
            <w:tcW w:w="3428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Средний балл</w:t>
            </w:r>
            <w:r/>
          </w:p>
        </w:tc>
        <w:tc>
          <w:tcPr>
            <w:tcW w:w="3428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Процент успеваемости</w:t>
            </w:r>
            <w:r/>
          </w:p>
        </w:tc>
        <w:tc>
          <w:tcPr>
            <w:tcW w:w="3428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Процент качества знаний</w:t>
            </w:r>
            <w:r/>
          </w:p>
        </w:tc>
      </w:tr>
      <w:tr>
        <w:trPr>
          <w:trHeight w:val="327"/>
        </w:trPr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«5»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0</w:t>
            </w:r>
            <w:r/>
          </w:p>
        </w:tc>
        <w:tc>
          <w:tcPr>
            <w:tcW w:w="3428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</w:r>
            <w:r/>
          </w:p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4,0</w:t>
            </w:r>
            <w:r/>
          </w:p>
        </w:tc>
        <w:tc>
          <w:tcPr>
            <w:tcW w:w="3428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</w:r>
            <w:r/>
          </w:p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100%</w:t>
            </w:r>
            <w:r/>
          </w:p>
        </w:tc>
        <w:tc>
          <w:tcPr>
            <w:tcW w:w="3428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</w:r>
            <w:r/>
          </w:p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100%</w:t>
            </w:r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«4»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5</w:t>
            </w:r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«3»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  <w:szCs w:val="28"/>
              </w:rPr>
              <w:t xml:space="preserve">0</w:t>
            </w:r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«2»</w:t>
            </w:r>
            <w:r/>
          </w:p>
        </w:tc>
        <w:tc>
          <w:tcPr>
            <w:tcW w:w="2141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 w:val="false"/>
                <w:sz w:val="28"/>
              </w:rPr>
              <w:t xml:space="preserve">0</w:t>
            </w:r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8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634"/>
        <w:jc w:val="center"/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sz w:val="24"/>
          <w:szCs w:val="28"/>
        </w:rPr>
        <w:t xml:space="preserve">Выполнение заданий КИМ</w:t>
      </w:r>
      <w:r>
        <w:rPr>
          <w:b/>
          <w:sz w:val="24"/>
          <w:szCs w:val="28"/>
        </w:rPr>
        <w:t xml:space="preserve"> в форме ОГЭ</w:t>
      </w:r>
      <w:r>
        <w:rPr>
          <w:sz w:val="24"/>
          <w:highlight w:val="none"/>
        </w:rPr>
      </w:r>
      <w:r/>
    </w:p>
    <w:p>
      <w:pPr>
        <w:pStyle w:val="634"/>
        <w:jc w:val="center"/>
      </w:pPr>
      <w:r>
        <w:rPr>
          <w:b/>
          <w:sz w:val="28"/>
          <w:szCs w:val="28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>
        <w:trPr>
          <w:trHeight w:val="591"/>
        </w:trPr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Характер выполнения задания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Задания с кратким ответом (№1-21)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</w:pPr>
            <w:r>
              <w:rPr>
                <w:b/>
                <w:i/>
                <w:sz w:val="24"/>
              </w:rPr>
              <w:t xml:space="preserve">Задания с развёрнутым ответом (№22-26)</w:t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Выполнили полностью без ошибок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Выполнили частично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5ч. (100,0%)</w:t>
            </w:r>
            <w:r>
              <w:rPr>
                <w:color w:val="auto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5ч.(100,0%)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left"/>
            </w:pPr>
            <w:r>
              <w:rPr>
                <w:b w:val="false"/>
                <w:sz w:val="24"/>
              </w:rPr>
              <w:t xml:space="preserve">Не приступали к выполнению</w:t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634"/>
              <w:jc w:val="center"/>
              <w:rPr>
                <w:color w:val="auto"/>
              </w:rPr>
            </w:pPr>
            <w:r>
              <w:rPr>
                <w:b w:val="false"/>
                <w:color w:val="auto"/>
                <w:sz w:val="24"/>
              </w:rPr>
              <w:t xml:space="preserve">0 ч. (0%)</w:t>
            </w:r>
            <w:r>
              <w:rPr>
                <w:color w:val="auto"/>
              </w:rPr>
            </w:r>
            <w:r/>
          </w:p>
        </w:tc>
      </w:tr>
    </w:tbl>
    <w:p>
      <w:pPr>
        <w:pStyle w:val="634"/>
        <w:jc w:val="center"/>
      </w:pPr>
      <w:r>
        <w:rPr>
          <w:b/>
          <w:sz w:val="28"/>
          <w:szCs w:val="28"/>
        </w:rPr>
      </w:r>
      <w:r/>
    </w:p>
    <w:p>
      <w:pPr>
        <w:pStyle w:val="634"/>
        <w:jc w:val="center"/>
        <w:rPr>
          <w:highlight w:val="none"/>
        </w:rPr>
      </w:pPr>
      <w:r>
        <w:rPr>
          <w:b/>
          <w:sz w:val="24"/>
          <w:szCs w:val="28"/>
        </w:rPr>
        <w:t xml:space="preserve">Анализ выполнения заданий КИМ ОГЭ</w:t>
      </w:r>
      <w:r>
        <w:rPr>
          <w:sz w:val="24"/>
          <w:highlight w:val="none"/>
        </w:rPr>
      </w:r>
      <w:r/>
    </w:p>
    <w:tbl>
      <w:tblPr>
        <w:tblStyle w:val="470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9921"/>
        <w:gridCol w:w="1276"/>
        <w:gridCol w:w="2268"/>
      </w:tblGrid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№ задания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 xml:space="preserve">Проверяемые элементы содержания</w:t>
            </w:r>
            <w:r>
              <w:rPr>
                <w:highlight w:val="none"/>
              </w:rPr>
            </w:r>
            <w:r/>
          </w:p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Характер задания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i/>
                <w:sz w:val="24"/>
                <w:highlight w:val="none"/>
              </w:rPr>
              <w:t xml:space="preserve">Решаемость в %, количество обучающихся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Понятие о жизни. Признаки живого.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Организмы и их многообразие.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Систематика растений и животных.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 ч. (40%)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Научные методы изучения живой природы. Работа с данными, представленными в графической форме.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Научные методы изучения живой природы. Составление инструкций по выполнению практической работы. Умение определять последовательность биологических процессов, явлений, объектов.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Научные методы изучения живой природы. Узнавание аналоговых и цифровых биологических приборов и инструментов.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Определение характеристик объектов живой природы по их описанию.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Сопоставление структур, процессов и явлений, протекающих на уровне клетки и многоклеточного организма.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Сравнение признаков и свойств растений и животных.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10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Дополнение недостающей информации, представленной в биологическом тексте из числа предложенных терминов и понятий.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11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Сравнение признаков биологических объектов.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 ч. (60%)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Анализ информации и простейшие способы оценки её достоверности.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13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Соотношение морфологических признаков животных или их отдельных частей с предложенными моделями по заданному алгоритму.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14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Узнавание на рисунках органов человека и их частей.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sz w:val="28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15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Определение особенностей жизнедеятельности организма человека.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sz w:val="28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 ч. (40%)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Узнавание на рисунках особенностей организма человека, его строения, жизнедеятельности, ВНД и поведения.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lang w:val="ru-RU"/>
              </w:rPr>
              <w:t xml:space="preserve">Б</w:t>
            </w:r>
            <w:r>
              <w:rPr>
                <w:sz w:val="28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17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Определение признаков и свойств организма человека, его строения, жизнедеятельности, ВНД и поведения.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18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Сравнение отдельных частей и систем органов человека.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(85%)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19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Экосистемная организация живой природы. Работа с информацией биологического содержания, представленной в виде схемы фрагмента экосистемы.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(85%)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20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Экосистемная организация живой природы.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Работа с информацией биологического содержания, представленной в виде схемы фрагмента экосистемы.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21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Экосистемная организация живой природы.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Работа с информацией биологического содержания, представленной в виде схемы фрагмента экосистемы.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Б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22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 ч. (20%)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23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Объяснение результатов биологических экспериментов.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 ч. (60%)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24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Работа с текстом биологического содержания.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П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 ч. (80%)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25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Работа со статистическими данными, представленными в табличной форме или в виде схемы.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ru-RU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 ч. (60%)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26</w:t>
            </w:r>
            <w:r>
              <w:rPr>
                <w:highlight w:val="none"/>
              </w:rPr>
            </w:r>
            <w:r/>
          </w:p>
        </w:tc>
        <w:tc>
          <w:tcPr>
            <w:tcW w:w="992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Решение учебных задач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 xml:space="preserve">В</w:t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ч. (100%)</w:t>
            </w:r>
            <w:r>
              <w:rPr>
                <w:color w:val="auto"/>
              </w:rPr>
            </w:r>
            <w:r/>
          </w:p>
        </w:tc>
      </w:tr>
    </w:tbl>
    <w:p>
      <w:pPr>
        <w:pStyle w:val="634"/>
        <w:jc w:val="both"/>
        <w:rPr>
          <w:highlight w:val="none"/>
        </w:rPr>
      </w:pPr>
      <w:r>
        <w:rPr>
          <w:b/>
          <w:sz w:val="24"/>
          <w:szCs w:val="28"/>
          <w:highlight w:val="none"/>
        </w:rPr>
        <w:t xml:space="preserve">Вывод:</w:t>
      </w:r>
      <w:r>
        <w:rPr>
          <w:b w:val="false"/>
          <w:sz w:val="24"/>
          <w:szCs w:val="28"/>
          <w:highlight w:val="none"/>
        </w:rPr>
        <w:t xml:space="preserve"> обучающиеся, выбравшие экзамен по биологии при решении заданий КИМ ОГЭ</w:t>
      </w:r>
      <w:r>
        <w:rPr>
          <w:b w:val="false"/>
          <w:sz w:val="24"/>
          <w:szCs w:val="28"/>
          <w:highlight w:val="none"/>
        </w:rPr>
        <w:t xml:space="preserve"> приступали к заданиям различного уровня сложности (базовый, повышенный, высокий). </w:t>
      </w:r>
      <w:r>
        <w:rPr>
          <w:b w:val="false"/>
          <w:sz w:val="24"/>
          <w:szCs w:val="28"/>
          <w:highlight w:val="none"/>
        </w:rPr>
        <w:t xml:space="preserve">Нужно отметить, что  практически все  участники экзамена приступали к  выполнению заданий повышенного и высокого уровня сложности из второй части КИМ ОГЭ.</w:t>
      </w:r>
      <w:r>
        <w:rPr>
          <w:b w:val="false"/>
          <w:sz w:val="24"/>
          <w:highlight w:val="none"/>
        </w:rPr>
      </w:r>
      <w:r/>
    </w:p>
    <w:p>
      <w:pPr>
        <w:pStyle w:val="634"/>
        <w:jc w:val="both"/>
        <w:rPr>
          <w:b/>
          <w:sz w:val="24"/>
          <w:szCs w:val="28"/>
          <w:highlight w:val="none"/>
        </w:rPr>
      </w:pPr>
      <w:r>
        <w:rPr>
          <w:b/>
          <w:sz w:val="24"/>
          <w:szCs w:val="28"/>
          <w:highlight w:val="none"/>
        </w:rPr>
        <w:t xml:space="preserve">На низком уровне сформированы умения обучающихся: </w:t>
      </w:r>
      <w:r>
        <w:rPr>
          <w:sz w:val="24"/>
          <w:highlight w:val="none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1.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Вывод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по результатам прохождения ГИА-9 в 2024-2025 учебном году 25 выпускников (100%) 9 класса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 получили аттестат об основном общем образовании. Общая успеваемость составила-100%; качество знаний по предметам, вынесенным на ГИА составило -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/>
        </w:rPr>
        <w:t xml:space="preserve"> 49,9%;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средний балл составил -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/>
        </w:rPr>
        <w:t xml:space="preserve">3,5.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Снижение качества в сравнении с прошлым годом составило 20% (с 62,9% до 49,9%); снижение среднего балла -0,3 (с 3,8 балла до 3,5). Вы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сокие результаты обучения выпускники показали при сдаче экзаменов по таким предметам как биология, химия; низкие результаты - по таким предметам как обществознание, физика, информатика.  Государственная итоговая аттестация прошла без нарушений  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Порядка проведения государственной итоговой аттестации по о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бразовательным программам основного общего образования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Результаты экзаменов свидетельствуют о том, что 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уровень и качество подготовки обучающихся соответствуют требованиям Федерального государственного стандарта образования.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Результаты ГИА-9 обсуждаются  на заседаниях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школьных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методических объедине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ни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, методического совета школы. Выявляются причины снижения качества, низкого качества, причины несоответствия годовых и экзаменационных отметок. Уч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телями проводится индивидуальная работа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 обучающимися по коррекции и систематиз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ции пробелов в знаниях как на уроках, так и при организации внеурочных занятий по подготовке к экзаменам.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Наиболее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трудные темы отрабатываются на дополнительных занятиях. В теч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ние учебного года проводился поэлементный анализ админис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ративных работ, с последующей работой по ликвидации пробелов в знаниях обучающихся. Своевременно доводилась информация о ходе подготовки выпускников к итоговой атт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стации до сведения р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дителей.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Предложения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: учитывая результаты государственной итоговой аттестации, определить направления работы на 2025-2026 учебный год: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1.Продолжение целенаправленной работы педагогического коллектива по повышению качества образования.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2.Детальный анализ результатов ОГЭ  и его рассмотрение на заседаниях методических объединений учителей; выработка эффективной стратегии подготовки выпускников к ГИА по предмету.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3.Организация дополнительных занятий по подготовке к ГИА, выстраивание чёткой системы подготовки обучающихся с разным уровнем знаний.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4.Контроль посещаемости дополнительных занятий по подготовке к ГИА со стороны предметников, классного руководителя, администрации.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5.Усиление степени ответственности за результаты государственных экзаменов по всей вертикали уровней образования: начальная школа-основная школа- старшая школа.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6.Внесение в систему ВШК элементов персонального контроля за работой учителей-предметников выпускных классов.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(особенно предметов : информатика, обществознание, физика).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7.Учителям-предметникам своевременно выявлять обучающихся, имеющих слабую мотивационную подготовку, проводить анализ затруднений в освоении учебного материала, корректировать свою работу.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8.Стимулировать познавательную деятельность обучающихся, использовать индивидуализацию и дифференциацию обучения выпускников.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9.Классному руководителю осуществлять взаимодействие между семьёй и школой с целью организации совместных действий для решения успешности обучения и социализации личности обучающихся.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10. Классному руководителю в рамках реализации профориентационного минимума усилить профориентационную работу с обучающимися для формирования осознанного выбора предметов для прохождения ГИА. </w:t>
      </w:r>
      <w:r>
        <w:rPr>
          <w:sz w:val="24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11. Продолжить формирование положительных мотивационных установок у обучающихся и их родителей к ОГЭ.</w:t>
      </w:r>
      <w:r>
        <w:rPr>
          <w:sz w:val="24"/>
        </w:rPr>
      </w:r>
      <w:r/>
    </w:p>
    <w:p>
      <w:pPr>
        <w:contextualSpacing w:val="true"/>
        <w:jc w:val="left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sz w:val="24"/>
        </w:rPr>
      </w:r>
      <w:r/>
    </w:p>
    <w:p>
      <w:pPr>
        <w:contextualSpacing w:val="true"/>
        <w:jc w:val="left"/>
        <w:rPr>
          <w:rFonts w:ascii="Times New Roman" w:hAnsi="Times New Roman" w:cs="Times New Roman" w:eastAsia="Times New Roman"/>
          <w:sz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sz w:val="24"/>
        </w:rPr>
      </w:r>
      <w:r/>
    </w:p>
    <w:p>
      <w:pPr>
        <w:jc w:val="center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Зам. директора по УВР:                  Т.Ю.Цымбал</w:t>
      </w:r>
      <w:r>
        <w:rPr>
          <w:sz w:val="24"/>
        </w:rPr>
      </w:r>
      <w:r/>
    </w:p>
    <w:p>
      <w:pPr>
        <w:jc w:val="center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>
        <w:rPr>
          <w:sz w:val="24"/>
        </w:rPr>
      </w:r>
      <w:r/>
    </w:p>
    <w:sectPr>
      <w:footnotePr/>
      <w:endnotePr/>
      <w:type w:val="nextPage"/>
      <w:pgSz w:w="16838" w:h="11906" w:orient="landscape"/>
      <w:pgMar w:top="425" w:right="1134" w:bottom="14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3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34"/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"/>
      <w:lvlJc w:val="left"/>
      <w:pPr>
        <w:pStyle w:val="634"/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pStyle w:val="63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34"/>
        <w:ind w:left="1428" w:hanging="360"/>
      </w:pPr>
      <w:rPr>
        <w:rFonts w:hAnsi="Courier New"/>
      </w:rPr>
    </w:lvl>
    <w:lvl w:ilvl="1">
      <w:start w:val="1"/>
      <w:numFmt w:val="bullet"/>
      <w:isLgl w:val="false"/>
      <w:suff w:val="tab"/>
      <w:lvlText w:val="o"/>
      <w:lvlJc w:val="left"/>
      <w:pPr>
        <w:pStyle w:val="634"/>
        <w:ind w:left="21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4"/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4"/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4"/>
        <w:ind w:left="43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4"/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4"/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4"/>
        <w:ind w:left="64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4"/>
        <w:ind w:left="718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34"/>
        <w:ind w:left="1429" w:hanging="360"/>
      </w:pPr>
      <w:rPr>
        <w:rFonts w:hAnsi="Courier New"/>
      </w:rPr>
    </w:lvl>
    <w:lvl w:ilvl="1">
      <w:start w:val="1"/>
      <w:numFmt w:val="bullet"/>
      <w:isLgl w:val="false"/>
      <w:suff w:val="tab"/>
      <w:lvlText w:val="o"/>
      <w:lvlJc w:val="left"/>
      <w:pPr>
        <w:pStyle w:val="634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34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34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34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34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34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34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34"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link w:val="614"/>
    <w:uiPriority w:val="9"/>
    <w:rPr>
      <w:rFonts w:ascii="Arial" w:hAnsi="Arial" w:cs="Arial" w:eastAsia="Arial"/>
      <w:sz w:val="40"/>
      <w:szCs w:val="40"/>
    </w:rPr>
  </w:style>
  <w:style w:type="character" w:styleId="454">
    <w:name w:val="Heading 2 Char"/>
    <w:link w:val="615"/>
    <w:uiPriority w:val="9"/>
    <w:rPr>
      <w:rFonts w:ascii="Arial" w:hAnsi="Arial" w:cs="Arial" w:eastAsia="Arial"/>
      <w:sz w:val="34"/>
    </w:rPr>
  </w:style>
  <w:style w:type="character" w:styleId="455">
    <w:name w:val="Heading 3 Char"/>
    <w:link w:val="616"/>
    <w:uiPriority w:val="9"/>
    <w:rPr>
      <w:rFonts w:ascii="Arial" w:hAnsi="Arial" w:cs="Arial" w:eastAsia="Arial"/>
      <w:sz w:val="30"/>
      <w:szCs w:val="30"/>
    </w:rPr>
  </w:style>
  <w:style w:type="character" w:styleId="456">
    <w:name w:val="Heading 4 Char"/>
    <w:link w:val="617"/>
    <w:uiPriority w:val="9"/>
    <w:rPr>
      <w:rFonts w:ascii="Arial" w:hAnsi="Arial" w:cs="Arial" w:eastAsia="Arial"/>
      <w:b/>
      <w:bCs/>
      <w:sz w:val="26"/>
      <w:szCs w:val="26"/>
    </w:rPr>
  </w:style>
  <w:style w:type="character" w:styleId="457">
    <w:name w:val="Heading 5 Char"/>
    <w:link w:val="618"/>
    <w:uiPriority w:val="9"/>
    <w:rPr>
      <w:rFonts w:ascii="Arial" w:hAnsi="Arial" w:cs="Arial" w:eastAsia="Arial"/>
      <w:b/>
      <w:bCs/>
      <w:sz w:val="24"/>
      <w:szCs w:val="24"/>
    </w:rPr>
  </w:style>
  <w:style w:type="character" w:styleId="458">
    <w:name w:val="Heading 6 Char"/>
    <w:link w:val="619"/>
    <w:uiPriority w:val="9"/>
    <w:rPr>
      <w:rFonts w:ascii="Arial" w:hAnsi="Arial" w:cs="Arial" w:eastAsia="Arial"/>
      <w:b/>
      <w:bCs/>
      <w:sz w:val="22"/>
      <w:szCs w:val="22"/>
    </w:rPr>
  </w:style>
  <w:style w:type="character" w:styleId="459">
    <w:name w:val="Heading 7 Char"/>
    <w:link w:val="6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0">
    <w:name w:val="Heading 8 Char"/>
    <w:link w:val="621"/>
    <w:uiPriority w:val="9"/>
    <w:rPr>
      <w:rFonts w:ascii="Arial" w:hAnsi="Arial" w:cs="Arial" w:eastAsia="Arial"/>
      <w:i/>
      <w:iCs/>
      <w:sz w:val="22"/>
      <w:szCs w:val="22"/>
    </w:rPr>
  </w:style>
  <w:style w:type="character" w:styleId="461">
    <w:name w:val="Heading 9 Char"/>
    <w:link w:val="622"/>
    <w:uiPriority w:val="9"/>
    <w:rPr>
      <w:rFonts w:ascii="Arial" w:hAnsi="Arial" w:cs="Arial" w:eastAsia="Arial"/>
      <w:i/>
      <w:iCs/>
      <w:sz w:val="21"/>
      <w:szCs w:val="21"/>
    </w:rPr>
  </w:style>
  <w:style w:type="character" w:styleId="462">
    <w:name w:val="Title Char"/>
    <w:link w:val="631"/>
    <w:uiPriority w:val="10"/>
    <w:rPr>
      <w:sz w:val="48"/>
      <w:szCs w:val="48"/>
    </w:rPr>
  </w:style>
  <w:style w:type="character" w:styleId="463">
    <w:name w:val="Subtitle Char"/>
    <w:link w:val="629"/>
    <w:uiPriority w:val="11"/>
    <w:rPr>
      <w:sz w:val="24"/>
      <w:szCs w:val="24"/>
    </w:rPr>
  </w:style>
  <w:style w:type="character" w:styleId="464">
    <w:name w:val="Quote Char"/>
    <w:link w:val="628"/>
    <w:uiPriority w:val="29"/>
    <w:rPr>
      <w:i/>
    </w:rPr>
  </w:style>
  <w:style w:type="character" w:styleId="465">
    <w:name w:val="Intense Quote Char"/>
    <w:link w:val="630"/>
    <w:uiPriority w:val="30"/>
    <w:rPr>
      <w:i/>
    </w:rPr>
  </w:style>
  <w:style w:type="character" w:styleId="466">
    <w:name w:val="Header Char"/>
    <w:link w:val="626"/>
    <w:uiPriority w:val="99"/>
  </w:style>
  <w:style w:type="character" w:styleId="467">
    <w:name w:val="Footer Char"/>
    <w:link w:val="625"/>
    <w:uiPriority w:val="99"/>
  </w:style>
  <w:style w:type="paragraph" w:styleId="468">
    <w:name w:val="Caption"/>
    <w:basedOn w:val="613"/>
    <w:next w:val="6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9">
    <w:name w:val="Caption Char"/>
    <w:basedOn w:val="468"/>
    <w:link w:val="625"/>
    <w:uiPriority w:val="99"/>
  </w:style>
  <w:style w:type="table" w:styleId="470">
    <w:name w:val="Table Grid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1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2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3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4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5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7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9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9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0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1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2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3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4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05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6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7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8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9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0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1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2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3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4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15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6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7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8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9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4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35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6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7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8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9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0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6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7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8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9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0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1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2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3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4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65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6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7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8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9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0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1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2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73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4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75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6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7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8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9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0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1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2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3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4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5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6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7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8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9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0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1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2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3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4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95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6">
    <w:name w:val="Hyperlink"/>
    <w:uiPriority w:val="99"/>
    <w:unhideWhenUsed/>
    <w:rPr>
      <w:color w:val="0000FF" w:themeColor="hyperlink"/>
      <w:u w:val="single"/>
    </w:rPr>
  </w:style>
  <w:style w:type="paragraph" w:styleId="597">
    <w:name w:val="footnote text"/>
    <w:basedOn w:val="613"/>
    <w:link w:val="598"/>
    <w:uiPriority w:val="99"/>
    <w:semiHidden/>
    <w:unhideWhenUsed/>
    <w:rPr>
      <w:sz w:val="18"/>
    </w:rPr>
    <w:pPr>
      <w:spacing w:lineRule="auto" w:line="240" w:after="40"/>
    </w:pPr>
  </w:style>
  <w:style w:type="character" w:styleId="598">
    <w:name w:val="Footnote Text Char"/>
    <w:link w:val="597"/>
    <w:uiPriority w:val="99"/>
    <w:rPr>
      <w:sz w:val="18"/>
    </w:rPr>
  </w:style>
  <w:style w:type="character" w:styleId="599">
    <w:name w:val="footnote reference"/>
    <w:uiPriority w:val="99"/>
    <w:unhideWhenUsed/>
    <w:rPr>
      <w:vertAlign w:val="superscript"/>
    </w:rPr>
  </w:style>
  <w:style w:type="paragraph" w:styleId="600">
    <w:name w:val="endnote text"/>
    <w:basedOn w:val="613"/>
    <w:link w:val="601"/>
    <w:uiPriority w:val="99"/>
    <w:semiHidden/>
    <w:unhideWhenUsed/>
    <w:rPr>
      <w:sz w:val="20"/>
    </w:rPr>
    <w:pPr>
      <w:spacing w:lineRule="auto" w:line="240" w:after="0"/>
    </w:pPr>
  </w:style>
  <w:style w:type="character" w:styleId="601">
    <w:name w:val="Endnote Text Char"/>
    <w:link w:val="600"/>
    <w:uiPriority w:val="99"/>
    <w:rPr>
      <w:sz w:val="20"/>
    </w:rPr>
  </w:style>
  <w:style w:type="character" w:styleId="602">
    <w:name w:val="endnote reference"/>
    <w:uiPriority w:val="99"/>
    <w:semiHidden/>
    <w:unhideWhenUsed/>
    <w:rPr>
      <w:vertAlign w:val="superscript"/>
    </w:rPr>
  </w:style>
  <w:style w:type="paragraph" w:styleId="603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604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605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606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607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608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609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610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611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612">
    <w:name w:val="TOC Heading"/>
    <w:uiPriority w:val="39"/>
    <w:unhideWhenUsed/>
  </w:style>
  <w:style w:type="paragraph" w:styleId="613" w:default="1">
    <w:name w:val="Normal"/>
    <w:qFormat/>
  </w:style>
  <w:style w:type="paragraph" w:styleId="614">
    <w:name w:val="Heading 1"/>
    <w:basedOn w:val="613"/>
    <w:next w:val="613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15">
    <w:name w:val="Heading 2"/>
    <w:basedOn w:val="613"/>
    <w:next w:val="613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6">
    <w:name w:val="Heading 3"/>
    <w:basedOn w:val="613"/>
    <w:next w:val="61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7">
    <w:name w:val="Heading 4"/>
    <w:basedOn w:val="613"/>
    <w:next w:val="613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8">
    <w:name w:val="Heading 5"/>
    <w:basedOn w:val="613"/>
    <w:next w:val="613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9">
    <w:name w:val="Heading 6"/>
    <w:basedOn w:val="613"/>
    <w:next w:val="613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20">
    <w:name w:val="Heading 7"/>
    <w:basedOn w:val="613"/>
    <w:next w:val="613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21">
    <w:name w:val="Heading 8"/>
    <w:basedOn w:val="613"/>
    <w:next w:val="613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22">
    <w:name w:val="Heading 9"/>
    <w:basedOn w:val="613"/>
    <w:next w:val="613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Footer"/>
    <w:basedOn w:val="61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6">
    <w:name w:val="Header"/>
    <w:basedOn w:val="61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7">
    <w:name w:val="No Spacing"/>
    <w:qFormat/>
    <w:uiPriority w:val="1"/>
    <w:pPr>
      <w:spacing w:lineRule="auto" w:line="240" w:after="0"/>
    </w:pPr>
  </w:style>
  <w:style w:type="paragraph" w:styleId="628">
    <w:name w:val="Quote"/>
    <w:basedOn w:val="613"/>
    <w:next w:val="613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9">
    <w:name w:val="Subtitle"/>
    <w:basedOn w:val="613"/>
    <w:next w:val="613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30">
    <w:name w:val="Intense Quote"/>
    <w:basedOn w:val="613"/>
    <w:next w:val="613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31">
    <w:name w:val="Title"/>
    <w:basedOn w:val="613"/>
    <w:next w:val="613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32">
    <w:name w:val="List Paragraph"/>
    <w:basedOn w:val="613"/>
    <w:qFormat/>
    <w:uiPriority w:val="34"/>
    <w:pPr>
      <w:contextualSpacing w:val="true"/>
      <w:ind w:left="720"/>
    </w:pPr>
  </w:style>
  <w:style w:type="character" w:styleId="633" w:default="1">
    <w:name w:val="Default Paragraph Font"/>
    <w:uiPriority w:val="1"/>
    <w:semiHidden/>
    <w:unhideWhenUsed/>
  </w:style>
  <w:style w:type="paragraph" w:styleId="634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2025-07-18T08:12:24Z</dcterms:modified>
</cp:coreProperties>
</file>