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b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входного тестирования обучающихся 6, 8, 9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формированию ФГ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№5» </w:t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учебный год.</w:t>
      </w:r>
      <w:r>
        <w:rPr>
          <w:b/>
        </w:rPr>
      </w:r>
      <w:r/>
    </w:p>
    <w:p>
      <w:pPr>
        <w:ind w:left="-28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: определение уровня качества ЗУН обучающихся по ФГ.</w:t>
      </w:r>
      <w:r/>
    </w:p>
    <w:p>
      <w:pPr>
        <w:ind w:left="-28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Сроки контроля</w:t>
      </w:r>
      <w:r>
        <w:rPr>
          <w:rFonts w:ascii="Times New Roman" w:hAnsi="Times New Roman" w:cs="Times New Roman"/>
          <w:sz w:val="24"/>
          <w:szCs w:val="24"/>
        </w:rPr>
        <w:t xml:space="preserve">: в период 25.09.2024 -11.10.2024г.</w:t>
      </w:r>
      <w:r/>
    </w:p>
    <w:p>
      <w:pPr>
        <w:ind w:left="-28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Форма контроля</w:t>
      </w:r>
      <w:r>
        <w:rPr>
          <w:rFonts w:ascii="Times New Roman" w:hAnsi="Times New Roman" w:cs="Times New Roman"/>
          <w:sz w:val="24"/>
          <w:szCs w:val="24"/>
        </w:rPr>
        <w:t xml:space="preserve">: региональные диагностические работы в электронном формате.</w:t>
      </w:r>
      <w:r/>
    </w:p>
    <w:p>
      <w:pPr>
        <w:ind w:left="-283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плана мероприятий, направленных на формирование и оценку функциональной грамотности обучающихся образовательных орг</w:t>
      </w:r>
      <w:r>
        <w:rPr>
          <w:rFonts w:ascii="Times New Roman" w:hAnsi="Times New Roman" w:cs="Times New Roman"/>
          <w:sz w:val="24"/>
          <w:szCs w:val="24"/>
        </w:rPr>
        <w:t xml:space="preserve">анизаций, на 2024-2025 учебный год, а так же на основании информационного письма ГАУ ДПО ПК ИРО «О проведении входного тестирования по формированию ФГ обучающихся 6,8 и 9 классов ОО ПК в 2024-2025 учебном году» в период с 25.09.2024 года по 11.10.2024 года</w:t>
      </w:r>
      <w:r>
        <w:rPr>
          <w:rFonts w:ascii="Times New Roman" w:hAnsi="Times New Roman" w:cs="Times New Roman"/>
          <w:sz w:val="24"/>
          <w:szCs w:val="24"/>
        </w:rPr>
        <w:t xml:space="preserve"> в 6, 8 и 9 классах ш</w:t>
      </w:r>
      <w:r>
        <w:rPr>
          <w:rFonts w:ascii="Times New Roman" w:hAnsi="Times New Roman" w:cs="Times New Roman"/>
          <w:sz w:val="24"/>
          <w:szCs w:val="24"/>
        </w:rPr>
        <w:t xml:space="preserve">колы были проведены диагностические работы по оценке функциональной грамотности по направлениям: читательская, естественнонаучная и математическая грамотность. В ходе данного входного мониторинга выявлен общий уровень  ФГ обучающихся.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283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входного тестирования:</w:t>
      </w:r>
      <w:r>
        <w:rPr>
          <w:b/>
          <w:sz w:val="24"/>
        </w:rPr>
      </w:r>
      <w:r/>
    </w:p>
    <w:p>
      <w:pPr>
        <w:pStyle w:val="629"/>
        <w:numPr>
          <w:ilvl w:val="0"/>
          <w:numId w:val="1"/>
        </w:numPr>
        <w:ind w:left="-283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Читательская грамотность</w:t>
      </w:r>
      <w:r/>
    </w:p>
    <w:tbl>
      <w:tblPr>
        <w:tblStyle w:val="48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362"/>
        <w:gridCol w:w="1366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Класс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gridSpan w:val="5"/>
            <w:tcW w:w="63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Результаты контроля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% качества знаний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Недостаточный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Низкий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Повышенный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Высокий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3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02.10.2024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(64,3%)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 (28,6%)</w:t>
            </w:r>
            <w:r>
              <w:rPr>
                <w:color w:val="auto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92,9%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07.10.2024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24 (96%)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 (8,3%)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(37,5%)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(45,8%)</w:t>
            </w:r>
            <w:r>
              <w:rPr>
                <w:color w:val="auto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91,7%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83,3%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07.10.2024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 (72%)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(5,6%)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(44,4%)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(44,4%)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(5,6%)</w:t>
            </w:r>
            <w:r>
              <w:rPr>
                <w:color w:val="auto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94,4%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50,0%</w:t>
            </w:r>
            <w:r>
              <w:rPr>
                <w:color w:val="auto"/>
              </w:rPr>
            </w:r>
            <w:r/>
          </w:p>
        </w:tc>
      </w:tr>
    </w:tbl>
    <w:p>
      <w:pPr>
        <w:ind w:left="-283" w:right="0" w:firstLine="0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Во всех классах наблюдаются относительно высокие показатели успеваемости  по читатель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ской грамотности; качество знаний от 6 к 9 классу падает.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highlight w:val="none"/>
        </w:rPr>
        <w:t xml:space="preserve">2. Математическая грамотность</w:t>
      </w:r>
      <w:r>
        <w:rPr>
          <w:rFonts w:ascii="Times New Roman" w:hAnsi="Times New Roman" w:cs="Times New Roman"/>
          <w:b/>
          <w:i/>
          <w:sz w:val="24"/>
          <w:szCs w:val="24"/>
          <w:highlight w:val="none"/>
        </w:rPr>
      </w:r>
      <w:r/>
    </w:p>
    <w:tbl>
      <w:tblPr>
        <w:tblStyle w:val="48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435"/>
        <w:gridCol w:w="1276"/>
        <w:gridCol w:w="1417"/>
        <w:gridCol w:w="1082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Класс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66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Результаты контроля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% качества знаний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Недостаточный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Низкий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Повышенный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Высокий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0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(25%)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12 (85,7%)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85,7%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09.10.2024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4 (19,0%)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(50%)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(28,6%)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11 (52,4%)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80,95%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80,95%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08.10.2024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 (76%)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(15,8%)</w:t>
            </w:r>
            <w:r>
              <w:rPr>
                <w:color w:val="auto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13 (68,4%)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(15,8%)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84,2%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15,8%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b w:val="false"/>
          <w:i w:val="false"/>
          <w:sz w:val="24"/>
        </w:rPr>
        <w:suppressLineNumbers w:val="0"/>
      </w:pPr>
      <w:r>
        <w:rPr>
          <w:rFonts w:ascii="Times New Roman" w:hAnsi="Times New Roman" w:cs="Times New Roman"/>
          <w:b w:val="false"/>
          <w:i w:val="false"/>
          <w:sz w:val="24"/>
          <w:szCs w:val="24"/>
        </w:rPr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Во всех классах наблюдаются относительно высокие показатели успеваемости  по математической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грамотности; качество знаний от 6 к 9 классу падает. Показатель качества знаний по математической грамотности в 9 классе находится на низком уровне.</w:t>
      </w:r>
      <w:r>
        <w:rPr>
          <w:rFonts w:ascii="Times New Roman" w:hAnsi="Times New Roman" w:cs="Times New Roman"/>
          <w:b w:val="false"/>
          <w:i w:val="false"/>
          <w:sz w:val="24"/>
          <w:szCs w:val="24"/>
        </w:rPr>
      </w:r>
      <w:r/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                            </w:t>
      </w:r>
      <w:r/>
    </w:p>
    <w:p>
      <w:pPr>
        <w:contextualSpacing w:val="true"/>
        <w:ind w:left="-283" w:right="0" w:firstLine="0"/>
        <w:jc w:val="center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highlight w:val="none"/>
        </w:rPr>
        <w:t xml:space="preserve">3. Естественнонаучная грамотность</w:t>
      </w:r>
      <w:r>
        <w:rPr>
          <w:rFonts w:ascii="Times New Roman" w:hAnsi="Times New Roman" w:cs="Times New Roman"/>
          <w:b/>
          <w:i/>
          <w:sz w:val="24"/>
          <w:szCs w:val="24"/>
          <w:highlight w:val="none"/>
        </w:rPr>
      </w:r>
      <w:r/>
    </w:p>
    <w:tbl>
      <w:tblPr>
        <w:tblStyle w:val="48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894"/>
        <w:gridCol w:w="1241"/>
        <w:gridCol w:w="1241"/>
        <w:gridCol w:w="1241"/>
        <w:gridCol w:w="1241"/>
        <w:gridCol w:w="1362"/>
        <w:gridCol w:w="1366"/>
        <w:gridCol w:w="1187"/>
      </w:tblGrid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Класс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Дата проведения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Число обучающихся в классе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Число участников диагностической работы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63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Результаты контроля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% успеваемости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1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% качества знаний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Недостаточный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Низкий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Повышенный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Высокий уровень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3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04.10.2024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(7,1%)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(21,4%)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(64,3%)</w:t>
            </w:r>
            <w:r>
              <w:rPr>
                <w:color w:val="auto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92,9%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85,7%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10.10.2024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 (4,5%)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(40,9%)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3 (13,6%)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(40,9%)</w:t>
            </w:r>
            <w:r>
              <w:rPr>
                <w:color w:val="auto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95,5%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54,5%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none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  <w:t xml:space="preserve">11.10.2024</w:t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 (27,3%)</w:t>
            </w:r>
            <w:r>
              <w:rPr>
                <w:color w:val="auto"/>
              </w:rPr>
            </w:r>
            <w:r/>
          </w:p>
        </w:tc>
        <w:tc>
          <w:tcPr>
            <w:tcW w:w="13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16 (72,7%)</w:t>
            </w:r>
            <w:r>
              <w:rPr>
                <w:color w:val="auto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100%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 w:val="false"/>
          <w:i w:val="false"/>
          <w:sz w:val="24"/>
          <w:szCs w:val="24"/>
        </w:rPr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Во всех классах наблюдаются относительно высокие показатели успеваемости  по естественнонаучной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грамотности. Показатель качества знаний в 9 классе находится на высоком уровне.</w:t>
      </w:r>
      <w:r>
        <w:rPr>
          <w:rFonts w:ascii="Times New Roman" w:hAnsi="Times New Roman" w:cs="Times New Roman"/>
          <w:b w:val="false"/>
          <w:i w:val="false"/>
          <w:sz w:val="24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Вывод: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В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6, 8, 9 классах в 2024-2025 учебном году обучается 65 обучающихся. Из общего числа обучающихся данных классов мониторингу по оценке  функциональной грамотности по направлениям: читательская, математическая, естественнонаучная грамотность было подвергнуто:</w:t>
      </w:r>
      <w:r>
        <w:rPr>
          <w:color w:val="auto"/>
        </w:rPr>
      </w:r>
      <w:r/>
    </w:p>
    <w:tbl>
      <w:tblPr>
        <w:tblStyle w:val="48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005"/>
        <w:gridCol w:w="4006"/>
        <w:gridCol w:w="4006"/>
        <w:gridCol w:w="4006"/>
      </w:tblGrid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Класс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 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 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Читательская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прошла диагностику 1 обучающаяся по болезни.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24 (96%)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прошёл диагностику 1 обучающийся по болезни.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18 (72%)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7 обучающихся. ( 6 обучающихся  по болезни; 1 обучающийся - по уважительной причине).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Математическая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</w:t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FF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FF0000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прошла диагностику 1 обучающаяся по болезни.</w:t>
            </w:r>
            <w:r>
              <w:rPr>
                <w:color w:val="FF0000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21 (84%)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4 обучающихся (2 обучающихся по болезни; 2 обучающихся - по уважительной причине).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19 (76%)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6 обучающихся по болезни.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00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Естественнонаучная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14 (93,3%)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прошла диагностику 1 обучающаяся по болезни.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 (1 обучающаяся по болезни; 2 обучающихся - по уважительной причине).</w:t>
            </w:r>
            <w:r>
              <w:rPr>
                <w:color w:val="auto"/>
              </w:rPr>
            </w:r>
            <w:r/>
          </w:p>
        </w:tc>
        <w:tc>
          <w:tcPr>
            <w:tcW w:w="400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22 (88%)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Не прошли диагностику 3 обучающихся по болезни.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По результатам мониторинга видно, что общая успеваемость и качество знаний по направлениям следующие: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FF0000"/>
          <w:sz w:val="24"/>
          <w:szCs w:val="24"/>
          <w:highlight w:val="none"/>
        </w:rPr>
      </w:r>
      <w:r>
        <w:rPr>
          <w:color w:val="FF0000"/>
        </w:rPr>
      </w:r>
      <w:r/>
    </w:p>
    <w:tbl>
      <w:tblPr>
        <w:tblStyle w:val="482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Направление функциональной грамотности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Общая успеваемость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Общее качество знаний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Читательская грамотность 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95,4 %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75,4%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Математическая грамотность 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88,4%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60,8%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Естественнонаучная грамотность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96,1%</w:t>
            </w:r>
            <w:r>
              <w:rPr>
                <w:color w:val="auto"/>
              </w:rPr>
            </w:r>
            <w:r/>
          </w:p>
        </w:tc>
        <w:tc>
          <w:tcPr>
            <w:tcW w:w="375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false"/>
                <w:i w:val="false"/>
                <w:color w:val="auto"/>
                <w:sz w:val="24"/>
                <w:highlight w:val="none"/>
              </w:rPr>
              <w:t xml:space="preserve">80,1%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Большинство обучающихся протестированных классов демонстрируют средний, повышенный и высокий уровень сформированности ключевых компонентов функциональной грамотности (читательской, математической, е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стественнонаучной). Самыми низкими показателями характеризуется направление математической грамотности. Обучающиеся испытывают трудности с применением знаний в реальных жизненных ситуациях, что указывает на недостаточную практикоориентированность обучения.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Функциональная грамотность обучающихся 6,8,9 классов требует дальнейшего развития, особенно в аспектах применения знаний в реальной жизни. Необходима системная работа на уроках и во внеурочной деятельности для формирования требуемых компетенций.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highlight w:val="none"/>
        </w:rPr>
        <w:t xml:space="preserve">Предложения: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1) Информацию принять к сведению.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2) Педагогам провести анализ предложенных диагностических работ по ФГ для обучающихся 6,8,9 классов.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3) По читательской грамотности: усилить работу с информационными и научно-популярными текстами, развивать навыки смыслового чтения;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/>
    </w:p>
    <w:p>
      <w:pPr>
        <w:contextualSpacing w:val="true"/>
        <w:ind w:left="0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по математической грамотности: включать больше задач с практическим контекстом (финансы, измерения, прогнозирование); по естественнонаучной грамотности: увеличить долю практических и исследовательских заданий.</w:t>
      </w: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 4) Ознакомить родителей (законных представителей) обучающихся с результатами входного тестирования по ФГ.</w:t>
      </w:r>
      <w:r>
        <w:rPr>
          <w:color w:val="auto"/>
        </w:rPr>
      </w:r>
      <w:r/>
    </w:p>
    <w:p>
      <w:pPr>
        <w:contextualSpacing w:val="true"/>
        <w:ind w:left="-283" w:right="0" w:firstLine="0"/>
        <w:jc w:val="both"/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b w:val="false"/>
          <w:i w:val="false"/>
          <w:color w:val="auto"/>
          <w:sz w:val="24"/>
          <w:szCs w:val="24"/>
          <w:highlight w:val="none"/>
        </w:rPr>
        <w:t xml:space="preserve">Зам. директора по УВР:                                                       Цымбал Т.Ю.</w:t>
      </w:r>
      <w:r>
        <w:rPr>
          <w:color w:val="auto"/>
        </w:rPr>
      </w:r>
      <w:r/>
    </w:p>
    <w:sectPr>
      <w:footnotePr/>
      <w:endnotePr/>
      <w:type w:val="nextPage"/>
      <w:pgSz w:w="16838" w:h="11906" w:orient="landscape"/>
      <w:pgMar w:top="426" w:right="1134" w:bottom="283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>
    <w:name w:val="Heading 1"/>
    <w:basedOn w:val="625"/>
    <w:next w:val="625"/>
    <w:link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0">
    <w:name w:val="Heading 1 Char"/>
    <w:basedOn w:val="626"/>
    <w:link w:val="449"/>
    <w:uiPriority w:val="9"/>
    <w:rPr>
      <w:rFonts w:ascii="Arial" w:hAnsi="Arial" w:cs="Arial" w:eastAsia="Arial"/>
      <w:sz w:val="40"/>
      <w:szCs w:val="40"/>
    </w:rPr>
  </w:style>
  <w:style w:type="paragraph" w:styleId="451">
    <w:name w:val="Heading 2"/>
    <w:basedOn w:val="625"/>
    <w:next w:val="625"/>
    <w:link w:val="4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2">
    <w:name w:val="Heading 2 Char"/>
    <w:basedOn w:val="626"/>
    <w:link w:val="451"/>
    <w:uiPriority w:val="9"/>
    <w:rPr>
      <w:rFonts w:ascii="Arial" w:hAnsi="Arial" w:cs="Arial" w:eastAsia="Arial"/>
      <w:sz w:val="34"/>
    </w:rPr>
  </w:style>
  <w:style w:type="paragraph" w:styleId="453">
    <w:name w:val="Heading 3"/>
    <w:basedOn w:val="625"/>
    <w:next w:val="625"/>
    <w:link w:val="4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4">
    <w:name w:val="Heading 3 Char"/>
    <w:basedOn w:val="626"/>
    <w:link w:val="453"/>
    <w:uiPriority w:val="9"/>
    <w:rPr>
      <w:rFonts w:ascii="Arial" w:hAnsi="Arial" w:cs="Arial" w:eastAsia="Arial"/>
      <w:sz w:val="30"/>
      <w:szCs w:val="30"/>
    </w:rPr>
  </w:style>
  <w:style w:type="paragraph" w:styleId="455">
    <w:name w:val="Heading 4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6">
    <w:name w:val="Heading 4 Char"/>
    <w:basedOn w:val="626"/>
    <w:link w:val="455"/>
    <w:uiPriority w:val="9"/>
    <w:rPr>
      <w:rFonts w:ascii="Arial" w:hAnsi="Arial" w:cs="Arial" w:eastAsia="Arial"/>
      <w:b/>
      <w:bCs/>
      <w:sz w:val="26"/>
      <w:szCs w:val="26"/>
    </w:rPr>
  </w:style>
  <w:style w:type="paragraph" w:styleId="457">
    <w:name w:val="Heading 5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8">
    <w:name w:val="Heading 5 Char"/>
    <w:basedOn w:val="626"/>
    <w:link w:val="457"/>
    <w:uiPriority w:val="9"/>
    <w:rPr>
      <w:rFonts w:ascii="Arial" w:hAnsi="Arial" w:cs="Arial" w:eastAsia="Arial"/>
      <w:b/>
      <w:bCs/>
      <w:sz w:val="24"/>
      <w:szCs w:val="24"/>
    </w:rPr>
  </w:style>
  <w:style w:type="paragraph" w:styleId="459">
    <w:name w:val="Heading 6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0">
    <w:name w:val="Heading 6 Char"/>
    <w:basedOn w:val="626"/>
    <w:link w:val="459"/>
    <w:uiPriority w:val="9"/>
    <w:rPr>
      <w:rFonts w:ascii="Arial" w:hAnsi="Arial" w:cs="Arial" w:eastAsia="Arial"/>
      <w:b/>
      <w:bCs/>
      <w:sz w:val="22"/>
      <w:szCs w:val="22"/>
    </w:rPr>
  </w:style>
  <w:style w:type="paragraph" w:styleId="461">
    <w:name w:val="Heading 7"/>
    <w:basedOn w:val="625"/>
    <w:next w:val="625"/>
    <w:link w:val="4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2">
    <w:name w:val="Heading 7 Char"/>
    <w:basedOn w:val="626"/>
    <w:link w:val="4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3">
    <w:name w:val="Heading 8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4">
    <w:name w:val="Heading 8 Char"/>
    <w:basedOn w:val="626"/>
    <w:link w:val="463"/>
    <w:uiPriority w:val="9"/>
    <w:rPr>
      <w:rFonts w:ascii="Arial" w:hAnsi="Arial" w:cs="Arial" w:eastAsia="Arial"/>
      <w:i/>
      <w:iCs/>
      <w:sz w:val="22"/>
      <w:szCs w:val="22"/>
    </w:rPr>
  </w:style>
  <w:style w:type="paragraph" w:styleId="465">
    <w:name w:val="Heading 9"/>
    <w:basedOn w:val="625"/>
    <w:next w:val="625"/>
    <w:link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6">
    <w:name w:val="Heading 9 Char"/>
    <w:basedOn w:val="626"/>
    <w:link w:val="465"/>
    <w:uiPriority w:val="9"/>
    <w:rPr>
      <w:rFonts w:ascii="Arial" w:hAnsi="Arial" w:cs="Arial" w:eastAsia="Arial"/>
      <w:i/>
      <w:iCs/>
      <w:sz w:val="21"/>
      <w:szCs w:val="21"/>
    </w:r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5"/>
    <w:next w:val="625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6"/>
    <w:link w:val="468"/>
    <w:uiPriority w:val="10"/>
    <w:rPr>
      <w:sz w:val="48"/>
      <w:szCs w:val="48"/>
    </w:rPr>
  </w:style>
  <w:style w:type="paragraph" w:styleId="470">
    <w:name w:val="Subtitle"/>
    <w:basedOn w:val="625"/>
    <w:next w:val="625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6"/>
    <w:link w:val="470"/>
    <w:uiPriority w:val="11"/>
    <w:rPr>
      <w:sz w:val="24"/>
      <w:szCs w:val="24"/>
    </w:rPr>
  </w:style>
  <w:style w:type="paragraph" w:styleId="472">
    <w:name w:val="Quote"/>
    <w:basedOn w:val="625"/>
    <w:next w:val="625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5"/>
    <w:next w:val="625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5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6"/>
    <w:link w:val="476"/>
    <w:uiPriority w:val="99"/>
  </w:style>
  <w:style w:type="paragraph" w:styleId="478">
    <w:name w:val="Footer"/>
    <w:basedOn w:val="625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6"/>
    <w:link w:val="478"/>
    <w:uiPriority w:val="99"/>
  </w:style>
  <w:style w:type="paragraph" w:styleId="480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Table Grid Light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4">
    <w:name w:val="Plain Table 1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2"/>
    <w:basedOn w:val="62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7">
    <w:name w:val="Plain Table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Plain Table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9">
    <w:name w:val="Grid Table 1 Light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4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1">
    <w:name w:val="Grid Table 4 - Accent 1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2">
    <w:name w:val="Grid Table 4 - Accent 2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3">
    <w:name w:val="Grid Table 4 - Accent 3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4">
    <w:name w:val="Grid Table 4 - Accent 4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5">
    <w:name w:val="Grid Table 4 - Accent 5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6">
    <w:name w:val="Grid Table 4 - Accent 6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7">
    <w:name w:val="Grid Table 5 Dark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1">
    <w:name w:val="Grid Table 5 Dark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4">
    <w:name w:val="Grid Table 6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5">
    <w:name w:val="Grid Table 6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6">
    <w:name w:val="Grid Table 6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7">
    <w:name w:val="Grid Table 6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8">
    <w:name w:val="Grid Table 6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9">
    <w:name w:val="Grid Table 6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6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7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6">
    <w:name w:val="List Table 2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7">
    <w:name w:val="List Table 2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8">
    <w:name w:val="List Table 2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9">
    <w:name w:val="List Table 2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0">
    <w:name w:val="List Table 2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1">
    <w:name w:val="List Table 2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2">
    <w:name w:val="List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5 Dark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6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4">
    <w:name w:val="List Table 6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5">
    <w:name w:val="List Table 6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6">
    <w:name w:val="List Table 6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7">
    <w:name w:val="List Table 6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8">
    <w:name w:val="List Table 6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9">
    <w:name w:val="List Table 6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0">
    <w:name w:val="List Table 7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1">
    <w:name w:val="List Table 7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82">
    <w:name w:val="List Table 7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3">
    <w:name w:val="List Table 7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4">
    <w:name w:val="List Table 7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5">
    <w:name w:val="List Table 7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86">
    <w:name w:val="List Table 7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7">
    <w:name w:val="Lined - Accent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8">
    <w:name w:val="Lined - Accent 1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9">
    <w:name w:val="Lined - Accent 2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0">
    <w:name w:val="Lined - Accent 3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1">
    <w:name w:val="Lined - Accent 4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2">
    <w:name w:val="Lined - Accent 5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3">
    <w:name w:val="Lined - Accent 6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4">
    <w:name w:val="Bordered &amp; Lined - Accent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5">
    <w:name w:val="Bordered &amp; Lined - Accent 1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6">
    <w:name w:val="Bordered &amp; Lined - Accent 2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7">
    <w:name w:val="Bordered &amp; Lined - Accent 3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8">
    <w:name w:val="Bordered &amp; Lined - Accent 4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9">
    <w:name w:val="Bordered &amp; Lined - Accent 5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0">
    <w:name w:val="Bordered &amp; Lined - Accent 6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1">
    <w:name w:val="Bordered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2">
    <w:name w:val="Bordered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3">
    <w:name w:val="Bordered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4">
    <w:name w:val="Bordered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5">
    <w:name w:val="Bordered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6">
    <w:name w:val="Bordered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7">
    <w:name w:val="Bordered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8">
    <w:name w:val="Hyperlink"/>
    <w:uiPriority w:val="99"/>
    <w:unhideWhenUsed/>
    <w:rPr>
      <w:color w:val="0000FF" w:themeColor="hyperlink"/>
      <w:u w:val="single"/>
    </w:rPr>
  </w:style>
  <w:style w:type="paragraph" w:styleId="609">
    <w:name w:val="footnote text"/>
    <w:basedOn w:val="625"/>
    <w:link w:val="610"/>
    <w:uiPriority w:val="99"/>
    <w:semiHidden/>
    <w:unhideWhenUsed/>
    <w:rPr>
      <w:sz w:val="18"/>
    </w:rPr>
    <w:pPr>
      <w:spacing w:lineRule="auto" w:line="240" w:after="40"/>
    </w:pPr>
  </w:style>
  <w:style w:type="character" w:styleId="610">
    <w:name w:val="Footnote Text Char"/>
    <w:link w:val="609"/>
    <w:uiPriority w:val="99"/>
    <w:rPr>
      <w:sz w:val="18"/>
    </w:rPr>
  </w:style>
  <w:style w:type="character" w:styleId="611">
    <w:name w:val="footnote reference"/>
    <w:basedOn w:val="626"/>
    <w:uiPriority w:val="99"/>
    <w:unhideWhenUsed/>
    <w:rPr>
      <w:vertAlign w:val="superscript"/>
    </w:rPr>
  </w:style>
  <w:style w:type="paragraph" w:styleId="612">
    <w:name w:val="endnote text"/>
    <w:basedOn w:val="625"/>
    <w:link w:val="613"/>
    <w:uiPriority w:val="99"/>
    <w:semiHidden/>
    <w:unhideWhenUsed/>
    <w:rPr>
      <w:sz w:val="20"/>
    </w:rPr>
    <w:pPr>
      <w:spacing w:lineRule="auto" w:line="240" w:after="0"/>
    </w:pPr>
  </w:style>
  <w:style w:type="character" w:styleId="613">
    <w:name w:val="Endnote Text Char"/>
    <w:link w:val="612"/>
    <w:uiPriority w:val="99"/>
    <w:rPr>
      <w:sz w:val="20"/>
    </w:rPr>
  </w:style>
  <w:style w:type="character" w:styleId="614">
    <w:name w:val="endnote reference"/>
    <w:basedOn w:val="626"/>
    <w:uiPriority w:val="99"/>
    <w:semiHidden/>
    <w:unhideWhenUsed/>
    <w:rPr>
      <w:vertAlign w:val="superscript"/>
    </w:rPr>
  </w:style>
  <w:style w:type="paragraph" w:styleId="615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6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7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8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9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20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1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2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3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4">
    <w:name w:val="TOC Heading"/>
    <w:uiPriority w:val="39"/>
    <w:unhideWhenUsed/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List Paragraph"/>
    <w:basedOn w:val="625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10</cp:revision>
  <dcterms:created xsi:type="dcterms:W3CDTF">2022-02-15T05:26:00Z</dcterms:created>
  <dcterms:modified xsi:type="dcterms:W3CDTF">2025-06-17T07:41:58Z</dcterms:modified>
</cp:coreProperties>
</file>