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true"/>
        <w:jc w:val="center"/>
        <w:rPr>
          <w:rFonts w:ascii="Times New Roman" w:hAnsi="Times New Roman" w:cs="Times New Roman"/>
          <w:b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>
        <w:rPr>
          <w:b/>
        </w:rPr>
      </w:r>
      <w:r/>
    </w:p>
    <w:p>
      <w:pPr>
        <w:contextualSpacing w:val="true"/>
        <w:jc w:val="center"/>
        <w:rPr>
          <w:rFonts w:ascii="Times New Roman" w:hAnsi="Times New Roman" w:cs="Times New Roman"/>
          <w:b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итогового тестирования обучающихся 6, 8, 9 классов </w:t>
      </w:r>
      <w:r>
        <w:rPr>
          <w:rFonts w:ascii="Times New Roman" w:hAnsi="Times New Roman" w:cs="Times New Roman"/>
          <w:b/>
          <w:sz w:val="24"/>
          <w:szCs w:val="24"/>
        </w:rPr>
        <w:t xml:space="preserve">по формированию ФГ</w:t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contextualSpacing w:val="true"/>
        <w:jc w:val="center"/>
        <w:rPr>
          <w:rFonts w:ascii="Times New Roman" w:hAnsi="Times New Roman" w:cs="Times New Roman"/>
          <w:b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общеобразовательного учреждения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/>
    </w:p>
    <w:p>
      <w:pPr>
        <w:contextualSpacing w:val="true"/>
        <w:jc w:val="center"/>
        <w:rPr>
          <w:rFonts w:ascii="Times New Roman" w:hAnsi="Times New Roman" w:cs="Times New Roman"/>
          <w:b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sz w:val="24"/>
          <w:szCs w:val="24"/>
        </w:rPr>
        <w:t xml:space="preserve">Средняя общеобразовательная школа </w:t>
      </w:r>
      <w:r>
        <w:rPr>
          <w:rFonts w:ascii="Times New Roman" w:hAnsi="Times New Roman" w:cs="Times New Roman"/>
          <w:b/>
          <w:sz w:val="24"/>
          <w:szCs w:val="24"/>
        </w:rPr>
        <w:t xml:space="preserve">№5» </w:t>
      </w:r>
      <w:r/>
    </w:p>
    <w:p>
      <w:pPr>
        <w:contextualSpacing w:val="true"/>
        <w:jc w:val="center"/>
        <w:rPr>
          <w:rFonts w:ascii="Times New Roman" w:hAnsi="Times New Roman" w:cs="Times New Roman"/>
          <w:b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sz w:val="24"/>
          <w:szCs w:val="24"/>
        </w:rPr>
        <w:t xml:space="preserve">2024-2025 учебный год.</w:t>
      </w:r>
      <w:r>
        <w:rPr>
          <w:b/>
        </w:rPr>
      </w:r>
      <w:r/>
      <w:r>
        <w:rPr>
          <w:rFonts w:ascii="Times New Roman" w:hAnsi="Times New Roman" w:cs="Times New Roman"/>
          <w:b/>
          <w:sz w:val="24"/>
          <w:szCs w:val="24"/>
        </w:rPr>
      </w:r>
      <w:r>
        <w:rPr>
          <w:b/>
        </w:rPr>
      </w:r>
      <w:r/>
    </w:p>
    <w:p>
      <w:pPr>
        <w:ind w:left="-283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Цель</w:t>
      </w:r>
      <w:r>
        <w:rPr>
          <w:rFonts w:ascii="Times New Roman" w:hAnsi="Times New Roman" w:cs="Times New Roman"/>
          <w:sz w:val="24"/>
          <w:szCs w:val="24"/>
        </w:rPr>
        <w:t xml:space="preserve">: определение уровня качества ЗУН обучающихся по ФГ; динамика результатов по формированию ФГ в сравнении с входным тестированием (сентябрь-октябрь 2024 года).</w:t>
      </w:r>
      <w:r/>
    </w:p>
    <w:p>
      <w:pPr>
        <w:ind w:left="-283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Сроки контроля</w:t>
      </w:r>
      <w:r>
        <w:rPr>
          <w:rFonts w:ascii="Times New Roman" w:hAnsi="Times New Roman" w:cs="Times New Roman"/>
          <w:sz w:val="24"/>
          <w:szCs w:val="24"/>
        </w:rPr>
        <w:t xml:space="preserve">: 03.03.2025 -11.04.2025 г.</w:t>
      </w:r>
      <w:r/>
    </w:p>
    <w:p>
      <w:pPr>
        <w:ind w:left="-283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Форма контроля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: региональные диагностические работы в электронном формате.</w:t>
      </w:r>
      <w:r>
        <w:rPr>
          <w:color w:val="auto"/>
        </w:rPr>
      </w:r>
      <w:r/>
    </w:p>
    <w:p>
      <w:pPr>
        <w:ind w:left="-283" w:righ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 рамках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реализации регионального плана мероприятий, направленных на формирование и оценку функциональной грамотности обучающихся образовательных организаций, на 2024-2025 учебный год, на основании приказа МКУ «Управление образования» ДГО №16-А п.2 от 25.02.2025 г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«О проведении оценки уровня сформированности ФГ учащихся 6, 8 и 9 классов ДГО» и приказа МБОУ «СОШ №5» ДГО №22-А п.2 от 12.03.2025 г. «О проведении оценки уровня сформированности ФГ учащихся 6, 8, 9 классов»  в период с 03.03.2025 года по 11.04.2025 года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в 6, 8, 9 классах ш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колы были пр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ведены диагностические работы по оценке функциональной грамотности по направлениям: читательская, естественнонаучная и математическая грамотность. В ходе данного итогового мониторинга выявлен общий уровень  ФГ обучающихся на конец 2024-2025 учебного года.</w:t>
      </w:r>
      <w:r>
        <w:rPr>
          <w:color w:val="auto"/>
        </w:rPr>
      </w:r>
      <w:r/>
    </w:p>
    <w:p>
      <w:pPr>
        <w:ind w:left="-283" w:righ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Результаты итогового тестирования:</w:t>
      </w:r>
      <w:r>
        <w:rPr>
          <w:color w:val="auto"/>
        </w:rPr>
      </w:r>
      <w:r/>
    </w:p>
    <w:p>
      <w:pPr>
        <w:pStyle w:val="631"/>
        <w:numPr>
          <w:ilvl w:val="0"/>
          <w:numId w:val="1"/>
        </w:numPr>
        <w:ind w:left="-283" w:righ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Читательская грамотность</w:t>
      </w:r>
      <w:r>
        <w:rPr>
          <w:color w:val="auto"/>
        </w:rPr>
      </w:r>
      <w:r/>
    </w:p>
    <w:tbl>
      <w:tblPr>
        <w:tblStyle w:val="484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1701"/>
        <w:gridCol w:w="1894"/>
        <w:gridCol w:w="1241"/>
        <w:gridCol w:w="1241"/>
        <w:gridCol w:w="1241"/>
        <w:gridCol w:w="1241"/>
        <w:gridCol w:w="1241"/>
        <w:gridCol w:w="1487"/>
        <w:gridCol w:w="1187"/>
      </w:tblGrid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Класс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Дата проведения диагностической работы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Число обучающихся в классе</w:t>
            </w:r>
            <w:r>
              <w:rPr>
                <w:color w:val="auto"/>
              </w:rPr>
            </w:r>
            <w:r/>
          </w:p>
        </w:tc>
        <w:tc>
          <w:tcPr>
            <w:tcW w:w="18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Число участников диагностической работы</w:t>
            </w:r>
            <w:r>
              <w:rPr>
                <w:color w:val="auto"/>
              </w:rPr>
            </w:r>
            <w:r/>
          </w:p>
        </w:tc>
        <w:tc>
          <w:tcPr>
            <w:gridSpan w:val="5"/>
            <w:tcW w:w="620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Результаты контроля</w:t>
            </w:r>
            <w:r>
              <w:rPr>
                <w:color w:val="auto"/>
              </w:rPr>
            </w:r>
            <w:r/>
          </w:p>
        </w:tc>
        <w:tc>
          <w:tcPr>
            <w:tcW w:w="14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% успеваемости</w:t>
            </w:r>
            <w:r>
              <w:rPr>
                <w:color w:val="auto"/>
              </w:rPr>
            </w:r>
            <w:r/>
          </w:p>
        </w:tc>
        <w:tc>
          <w:tcPr>
            <w:tcW w:w="11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% качества знаний</w:t>
            </w:r>
            <w:r>
              <w:rPr>
                <w:color w:val="auto"/>
              </w:rPr>
            </w:r>
            <w:r/>
          </w:p>
        </w:tc>
      </w:tr>
      <w:tr>
        <w:trPr>
          <w:trHeight w:val="905"/>
        </w:trPr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Недостаточный уровень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Низкий уровень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Средний уровень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Повышенный уровень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Высокий уровень</w:t>
            </w:r>
            <w:r>
              <w:rPr>
                <w:color w:val="auto"/>
              </w:rPr>
            </w:r>
            <w:r/>
          </w:p>
        </w:tc>
        <w:tc>
          <w:tcPr>
            <w:tcW w:w="1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8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  <w:t xml:space="preserve">6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09.04.2025</w:t>
            </w:r>
            <w:r>
              <w:rPr>
                <w:color w:val="auto"/>
              </w:rPr>
            </w:r>
            <w:r/>
          </w:p>
          <w:p>
            <w:pP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14</w:t>
            </w:r>
            <w:r>
              <w:rPr>
                <w:color w:val="auto"/>
              </w:rPr>
            </w:r>
            <w:r/>
          </w:p>
        </w:tc>
        <w:tc>
          <w:tcPr>
            <w:gridSpan w:val="8"/>
            <w:tcW w:w="1077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Диагностика не состоялась по техническим причинам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  <w:t xml:space="preserve">8 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14.03.2025</w:t>
            </w:r>
            <w:r>
              <w:rPr>
                <w:color w:val="auto"/>
              </w:rPr>
            </w:r>
            <w:r/>
          </w:p>
          <w:p>
            <w:pP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26</w:t>
            </w:r>
            <w:r>
              <w:rPr>
                <w:color w:val="auto"/>
              </w:rPr>
            </w:r>
            <w:r/>
          </w:p>
        </w:tc>
        <w:tc>
          <w:tcPr>
            <w:tcW w:w="18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23 (88,5%)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 (8,7%)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8 (34,8%)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8 (34,8%)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5 (21,7%)</w:t>
            </w:r>
            <w:r>
              <w:rPr>
                <w:color w:val="auto"/>
              </w:rPr>
            </w:r>
            <w:r/>
          </w:p>
        </w:tc>
        <w:tc>
          <w:tcPr>
            <w:tcW w:w="14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91,3%</w:t>
            </w:r>
            <w:r>
              <w:rPr>
                <w:color w:val="auto"/>
              </w:rPr>
            </w:r>
            <w:r/>
          </w:p>
        </w:tc>
        <w:tc>
          <w:tcPr>
            <w:tcW w:w="11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56,5%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highlight w:val="none"/>
              </w:rPr>
              <w:t xml:space="preserve">9 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14.03.2025</w:t>
            </w:r>
            <w:r>
              <w:rPr>
                <w:color w:val="000000" w:themeColor="text1"/>
              </w:rPr>
            </w:r>
            <w:r/>
          </w:p>
          <w:p>
            <w:pPr>
              <w:rPr>
                <w:rFonts w:ascii="Times New Roman" w:hAnsi="Times New Roman" w:cs="Times New Roman"/>
                <w:b w:val="false"/>
                <w:i w:val="false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25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8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21 (84,0%)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0 (0%)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0 (0%)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4 (19,0%)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13 (61,9%)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4 (19,0%)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4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100%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1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80,95%</w:t>
            </w:r>
            <w:r>
              <w:rPr>
                <w:color w:val="000000" w:themeColor="text1"/>
              </w:rPr>
            </w:r>
            <w:r/>
          </w:p>
        </w:tc>
      </w:tr>
    </w:tbl>
    <w:p>
      <w:pPr>
        <w:contextualSpacing w:val="true"/>
        <w:ind w:left="-283" w:right="0" w:firstLine="0"/>
        <w:jc w:val="center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Сопоставительный анализ результатов оценки функциональной грамотности</w:t>
      </w:r>
      <w:r>
        <w:rPr>
          <w:color w:val="auto"/>
        </w:rPr>
      </w:r>
      <w:r/>
    </w:p>
    <w:p>
      <w:pPr>
        <w:contextualSpacing w:val="true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по направлению «Читательская грамотность»</w:t>
      </w:r>
      <w:r>
        <w:rPr>
          <w:color w:val="auto"/>
        </w:rPr>
      </w:r>
      <w:r/>
    </w:p>
    <w:tbl>
      <w:tblPr>
        <w:tblStyle w:val="484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1701"/>
        <w:gridCol w:w="1894"/>
        <w:gridCol w:w="1241"/>
        <w:gridCol w:w="1241"/>
        <w:gridCol w:w="1241"/>
        <w:gridCol w:w="1328"/>
        <w:gridCol w:w="1276"/>
        <w:gridCol w:w="1366"/>
        <w:gridCol w:w="1187"/>
      </w:tblGrid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Класс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Дата проведения диагностической работы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Число обучающихся в классе</w:t>
            </w:r>
            <w:r>
              <w:rPr>
                <w:color w:val="auto"/>
              </w:rPr>
            </w:r>
            <w:r/>
          </w:p>
        </w:tc>
        <w:tc>
          <w:tcPr>
            <w:tcW w:w="18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Число участников диагностической работы</w:t>
            </w:r>
            <w:r>
              <w:rPr>
                <w:color w:val="auto"/>
              </w:rPr>
            </w:r>
            <w:r/>
          </w:p>
        </w:tc>
        <w:tc>
          <w:tcPr>
            <w:gridSpan w:val="5"/>
            <w:tcW w:w="63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Результаты контроля</w:t>
            </w:r>
            <w:r>
              <w:rPr>
                <w:color w:val="auto"/>
              </w:rPr>
            </w:r>
            <w:r/>
          </w:p>
        </w:tc>
        <w:tc>
          <w:tcPr>
            <w:tcW w:w="136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% успеваемости</w:t>
            </w:r>
            <w:r>
              <w:rPr>
                <w:color w:val="auto"/>
              </w:rPr>
            </w:r>
            <w:r/>
          </w:p>
        </w:tc>
        <w:tc>
          <w:tcPr>
            <w:tcW w:w="11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% качества знаний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Недостаточный уровень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Низкий уровень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Средний уровень</w:t>
            </w:r>
            <w:r>
              <w:rPr>
                <w:color w:val="auto"/>
              </w:rPr>
            </w:r>
            <w:r/>
          </w:p>
        </w:tc>
        <w:tc>
          <w:tcPr>
            <w:tcW w:w="13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Повышенный уровень</w:t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Высокий уровень</w:t>
            </w:r>
            <w:r>
              <w:rPr>
                <w:color w:val="auto"/>
              </w:rPr>
            </w:r>
            <w:r/>
          </w:p>
        </w:tc>
        <w:tc>
          <w:tcPr>
            <w:tcW w:w="13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8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  <w:t xml:space="preserve">6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02.10.2024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09.04.2025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14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</w:tc>
        <w:tc>
          <w:tcPr>
            <w:tcW w:w="18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14 (93,3%)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——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——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——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 (7,1%)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——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</w:tc>
        <w:tc>
          <w:tcPr>
            <w:tcW w:w="13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 (64,3%)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——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4 (28,6%)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——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100%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——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</w:tc>
        <w:tc>
          <w:tcPr>
            <w:tcW w:w="11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92,9%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——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  <w:t xml:space="preserve">   8 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07.10.2024</w:t>
            </w:r>
            <w:r/>
          </w:p>
          <w:p>
            <w:pP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14.03.2025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25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26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</w:tc>
        <w:tc>
          <w:tcPr>
            <w:tcW w:w="18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24 (96%)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23 (88,5%)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2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</w:tc>
        <w:tc>
          <w:tcPr>
            <w:tcW w:w="12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 (8,3%)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 (8,7%)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</w:tc>
        <w:tc>
          <w:tcPr>
            <w:tcW w:w="12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 (8,3%)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8 (34,8%)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</w:tc>
        <w:tc>
          <w:tcPr>
            <w:tcW w:w="132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 (37,5%)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8 (34,8%)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11 (45,8%)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5 (21,7%)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3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91,7%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91,3%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1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83,3%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56,5%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  <w:t xml:space="preserve">  9 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07.10.2024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14.03.2025</w:t>
            </w: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25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25</w:t>
            </w: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W w:w="18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18 (72%)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21 (84,0%)</w:t>
            </w: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 (5,6%)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8 (44,4%)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4 (19,0%)</w:t>
            </w: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W w:w="13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8 (44,4%)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13 (61,9%)</w:t>
            </w: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 (5,6%)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4 (19,0%)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94,4%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100%</w:t>
            </w: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W w:w="11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50,0%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80,95%</w:t>
            </w: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</w:r>
            <w:r/>
          </w:p>
        </w:tc>
      </w:tr>
    </w:tbl>
    <w:p>
      <w:pPr>
        <w:contextualSpacing w:val="true"/>
        <w:jc w:val="both"/>
        <w:rPr>
          <w:rFonts w:ascii="Times New Roman" w:hAnsi="Times New Roman" w:cs="Times New Roman"/>
          <w:b w:val="false"/>
          <w:i w:val="false"/>
          <w:color w:val="FF0000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FF0000"/>
          <w:sz w:val="24"/>
          <w:szCs w:val="24"/>
          <w:highlight w:val="none"/>
        </w:rPr>
        <w:t xml:space="preserve">  </w:t>
      </w:r>
      <w:r>
        <w:rPr>
          <w:color w:val="FF0000"/>
        </w:rPr>
      </w:r>
      <w:r/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 Динамику результатов сформированности ФГ в 6 классе отследить не представляется возможным, так как запланированное итоговое тестирование обучающихся не состоялось по техни</w:t>
      </w: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ческим причинам. В отношении результатов 8 класса (работающий учитель-Железнова С.М.) идёт снижение показателей как успеваемости, так и качества; в 9 классе (работающий учитель - Кулибаба О.В.) результаты успеваемости и качества знаний существенно выросли.</w:t>
      </w:r>
      <w:r>
        <w:rPr>
          <w:color w:val="auto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4"/>
        </w:rPr>
        <w:t xml:space="preserve">Общая успеваемость по читательской грамотности составляет 95,7%, что на 0,3% выше в сравнении с результатами входного контроля (повышение показателя с 95,4% до 95,7%); общее качество знаний составляет 68,7%, что на 6,7% ниже показателя входного контроля (снижение показателя с 75,4% до 68,7%).</w:t>
      </w: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b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 w:cs="Times New Roman" w:eastAsia="Times New Roman"/>
          <w:color w:val="FF0000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contextualSpacing w:val="true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/>
          <w:i/>
          <w:color w:val="auto"/>
          <w:sz w:val="24"/>
          <w:szCs w:val="24"/>
          <w:highlight w:val="none"/>
        </w:rPr>
        <w:t xml:space="preserve">2. Математическая грамотность</w:t>
      </w:r>
      <w:r>
        <w:rPr>
          <w:color w:val="auto"/>
        </w:rPr>
      </w:r>
      <w:r/>
    </w:p>
    <w:tbl>
      <w:tblPr>
        <w:tblStyle w:val="484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1701"/>
        <w:gridCol w:w="1894"/>
        <w:gridCol w:w="1241"/>
        <w:gridCol w:w="1241"/>
        <w:gridCol w:w="1435"/>
        <w:gridCol w:w="1276"/>
        <w:gridCol w:w="1417"/>
        <w:gridCol w:w="1082"/>
        <w:gridCol w:w="1187"/>
      </w:tblGrid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Класс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Дата проведения диагностической работы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Число обучающихся в классе</w:t>
            </w:r>
            <w:r>
              <w:rPr>
                <w:color w:val="auto"/>
              </w:rPr>
            </w:r>
            <w:r/>
          </w:p>
        </w:tc>
        <w:tc>
          <w:tcPr>
            <w:tcW w:w="18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Число участников диагностической работы</w:t>
            </w:r>
            <w:r>
              <w:rPr>
                <w:color w:val="auto"/>
              </w:rPr>
            </w:r>
            <w:r/>
          </w:p>
        </w:tc>
        <w:tc>
          <w:tcPr>
            <w:gridSpan w:val="5"/>
            <w:tcW w:w="66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Результаты контроля</w:t>
            </w:r>
            <w:r>
              <w:rPr>
                <w:color w:val="auto"/>
              </w:rPr>
            </w:r>
            <w:r/>
          </w:p>
        </w:tc>
        <w:tc>
          <w:tcPr>
            <w:tcW w:w="108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% успеваемости</w:t>
            </w:r>
            <w:r>
              <w:rPr>
                <w:color w:val="auto"/>
              </w:rPr>
            </w:r>
            <w:r/>
          </w:p>
        </w:tc>
        <w:tc>
          <w:tcPr>
            <w:tcW w:w="11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% качества знаний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Недостаточный уровень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Низкий уровень</w:t>
            </w:r>
            <w:r>
              <w:rPr>
                <w:color w:val="auto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Средний уровень</w:t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Повышенный уровень</w:t>
            </w:r>
            <w:r>
              <w:rPr>
                <w:color w:val="auto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Высокий уровень</w:t>
            </w:r>
            <w:r>
              <w:rPr>
                <w:color w:val="auto"/>
              </w:rPr>
            </w:r>
            <w:r/>
          </w:p>
        </w:tc>
        <w:tc>
          <w:tcPr>
            <w:tcW w:w="10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8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  <w:t xml:space="preserve">6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08.04.2025</w:t>
            </w:r>
            <w:r>
              <w:rPr>
                <w:color w:val="auto"/>
              </w:rPr>
            </w:r>
            <w:r/>
          </w:p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14</w:t>
            </w:r>
            <w:r>
              <w:rPr>
                <w:color w:val="auto"/>
              </w:rPr>
            </w:r>
            <w:r/>
          </w:p>
        </w:tc>
        <w:tc>
          <w:tcPr>
            <w:gridSpan w:val="8"/>
            <w:tcW w:w="1077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Диагностика не состоялась по техническим причинам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  <w:t xml:space="preserve">8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13.03.2025</w:t>
            </w:r>
            <w:r>
              <w:rPr>
                <w:color w:val="auto"/>
              </w:rPr>
            </w:r>
            <w:r/>
          </w:p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26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8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22 (84,6%)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 (4,5%)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3 (13,6%)</w:t>
            </w:r>
            <w:r>
              <w:rPr>
                <w:color w:val="auto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10 (45,5%)</w:t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6 (27,3%)</w:t>
            </w:r>
            <w:r>
              <w:rPr>
                <w:color w:val="auto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 (9,1%)</w:t>
            </w:r>
            <w:r>
              <w:rPr>
                <w:color w:val="auto"/>
              </w:rPr>
            </w:r>
            <w:r/>
          </w:p>
        </w:tc>
        <w:tc>
          <w:tcPr>
            <w:tcW w:w="10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81,8%</w:t>
            </w:r>
            <w:r>
              <w:rPr>
                <w:color w:val="auto"/>
              </w:rPr>
            </w:r>
            <w:r/>
          </w:p>
        </w:tc>
        <w:tc>
          <w:tcPr>
            <w:tcW w:w="11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36,4%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  <w:t xml:space="preserve">9 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13.03.2025</w:t>
            </w:r>
            <w:r>
              <w:rPr>
                <w:color w:val="000000" w:themeColor="text1"/>
              </w:rPr>
            </w:r>
            <w:r/>
          </w:p>
          <w:p>
            <w:pPr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25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8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22 (88%)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color w:val="auto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 (9,1%)</w:t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6 (27,3%)</w:t>
            </w:r>
            <w:r>
              <w:rPr>
                <w:color w:val="auto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14 (63,6%)</w:t>
            </w:r>
            <w:r>
              <w:rPr>
                <w:color w:val="auto"/>
              </w:rPr>
            </w:r>
            <w:r/>
          </w:p>
        </w:tc>
        <w:tc>
          <w:tcPr>
            <w:tcW w:w="10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100%</w:t>
            </w:r>
            <w:r>
              <w:rPr>
                <w:color w:val="auto"/>
              </w:rPr>
            </w:r>
            <w:r/>
          </w:p>
        </w:tc>
        <w:tc>
          <w:tcPr>
            <w:tcW w:w="11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90,9%</w:t>
            </w:r>
            <w:r>
              <w:rPr>
                <w:color w:val="auto"/>
              </w:rPr>
            </w:r>
            <w:r/>
          </w:p>
        </w:tc>
      </w:tr>
    </w:tbl>
    <w:p>
      <w:pPr>
        <w:contextualSpacing w:val="true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Сопоставительный анализ результатов оценки функциональной грамотности</w:t>
      </w:r>
      <w:r>
        <w:rPr>
          <w:color w:val="auto"/>
        </w:rPr>
      </w:r>
      <w:r/>
    </w:p>
    <w:p>
      <w:pPr>
        <w:contextualSpacing w:val="true"/>
        <w:jc w:val="center"/>
        <w:rPr>
          <w:rFonts w:ascii="Times New Roman" w:hAnsi="Times New Roman" w:cs="Times New Roman"/>
          <w:color w:val="auto"/>
          <w:highlight w:val="none"/>
        </w:rPr>
        <w:suppressLineNumbers w:val="0"/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по направлению «Математическая грамотность»</w:t>
      </w:r>
      <w:r>
        <w:rPr>
          <w:color w:val="auto"/>
        </w:rPr>
      </w:r>
      <w:r/>
    </w:p>
    <w:tbl>
      <w:tblPr>
        <w:tblStyle w:val="484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1701"/>
        <w:gridCol w:w="1894"/>
        <w:gridCol w:w="1241"/>
        <w:gridCol w:w="1241"/>
        <w:gridCol w:w="1435"/>
        <w:gridCol w:w="1276"/>
        <w:gridCol w:w="1417"/>
        <w:gridCol w:w="1082"/>
        <w:gridCol w:w="1187"/>
      </w:tblGrid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Класс</w:t>
            </w:r>
            <w:r>
              <w:rPr>
                <w:color w:val="auto"/>
              </w:rPr>
            </w:r>
            <w:r/>
          </w:p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Дата проведения диагностической работы</w:t>
            </w:r>
            <w:r>
              <w:rPr>
                <w:color w:val="auto"/>
              </w:rPr>
            </w:r>
            <w:r/>
          </w:p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Число обучающихся в классе</w:t>
            </w:r>
            <w:r>
              <w:rPr>
                <w:color w:val="auto"/>
              </w:rPr>
            </w:r>
            <w:r/>
          </w:p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/>
          </w:p>
        </w:tc>
        <w:tc>
          <w:tcPr>
            <w:tcW w:w="18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Число участников диагностической работы</w:t>
            </w:r>
            <w:r>
              <w:rPr>
                <w:color w:val="auto"/>
              </w:rPr>
            </w:r>
            <w:r/>
          </w:p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/>
          </w:p>
        </w:tc>
        <w:tc>
          <w:tcPr>
            <w:gridSpan w:val="5"/>
            <w:tcW w:w="66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Результаты контроля</w:t>
            </w:r>
            <w:r>
              <w:rPr>
                <w:color w:val="auto"/>
              </w:rPr>
            </w:r>
            <w:r/>
          </w:p>
        </w:tc>
        <w:tc>
          <w:tcPr>
            <w:tcW w:w="108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% успеваемости</w:t>
            </w:r>
            <w:r>
              <w:rPr>
                <w:color w:val="auto"/>
              </w:rPr>
            </w:r>
            <w:r/>
          </w:p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/>
          </w:p>
        </w:tc>
        <w:tc>
          <w:tcPr>
            <w:tcW w:w="11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% качества знаний</w:t>
            </w:r>
            <w:r>
              <w:rPr>
                <w:color w:val="auto"/>
              </w:rPr>
            </w:r>
            <w:r/>
          </w:p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Недостаточный уровень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Низкий уровень</w:t>
            </w:r>
            <w:r>
              <w:rPr>
                <w:color w:val="auto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Средний уровень</w:t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Повышенный уровень</w:t>
            </w:r>
            <w:r>
              <w:rPr>
                <w:color w:val="auto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Высокий уровень</w:t>
            </w:r>
            <w:r>
              <w:rPr>
                <w:color w:val="auto"/>
              </w:rPr>
            </w:r>
            <w:r/>
          </w:p>
        </w:tc>
        <w:tc>
          <w:tcPr>
            <w:tcW w:w="10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8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  <w:t xml:space="preserve">6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03.10.2024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08.04.2025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14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</w:tc>
        <w:tc>
          <w:tcPr>
            <w:tcW w:w="18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14 (93,3%)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——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——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(25%)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——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 (7,1%)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——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 (7,1%)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——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12 (85,7%)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——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</w:tc>
        <w:tc>
          <w:tcPr>
            <w:tcW w:w="10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100%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——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</w:tc>
        <w:tc>
          <w:tcPr>
            <w:tcW w:w="11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85,7%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——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  <w:t xml:space="preserve">8 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09.10.2024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13.03.2025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t xml:space="preserve">25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t xml:space="preserve">26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8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21 (84%)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22 (84,6%)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 (4,5%)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4 (19,0%)</w:t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3 (13,6%)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(50%)</w:t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10 (45,5%)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6 (28,6%)</w:t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6 (27,3%)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11 (52,4%)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 (9,1%)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0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80,95%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81,8%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1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80,95%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36,4%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  <w:t xml:space="preserve">9 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08.10.2024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13.03.2025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t xml:space="preserve">25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25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/>
          </w:p>
        </w:tc>
        <w:tc>
          <w:tcPr>
            <w:tcW w:w="18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19 (76%)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22 (88%)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2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2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3 (15,8%)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4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13 (68,4%)</w:t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 (9,1%)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3 (15,8%)</w:t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6 (27,3%)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14 (63,6%)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0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84,2%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100%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1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15,8%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90,9%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</w:tr>
    </w:tbl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color w:val="auto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 Динамику результатов сформированности ФГ в 6 классе отследить не представляется возможным, так как запланированное итоговое тестирование обучающихся не состоялось по техни</w:t>
      </w: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ческим причинам. В отношении результатов 8 класса (работающий учитель-Гайдукова Г.В.) наблюдается незначительное повышение успеваемости, но значительное снижение  качества знаний; в 9 классе (работающий учитель - Балакина Г.А.) результаты успеваемости и качества знаний существенно выросли.</w:t>
      </w:r>
      <w:r>
        <w:rPr>
          <w:rFonts w:ascii="Times New Roman" w:hAnsi="Times New Roman" w:cs="Times New Roman" w:eastAsia="Times New Roman"/>
          <w:color w:val="auto"/>
          <w:sz w:val="24"/>
        </w:rPr>
        <w:t xml:space="preserve">Общая успеваемость по математической  гр</w:t>
      </w:r>
      <w:r>
        <w:rPr>
          <w:rFonts w:ascii="Times New Roman" w:hAnsi="Times New Roman" w:cs="Times New Roman" w:eastAsia="Times New Roman"/>
          <w:color w:val="auto"/>
          <w:sz w:val="24"/>
        </w:rPr>
        <w:t xml:space="preserve">амотности составляет 90,9%, что на 2,5% выше в сравнении с результатами входного контроля (повышение показателя с 88,4% до 90,9%); общее качество знаний составляет 63,7%, что на 2,9% выше показателя входного контроля (повышение показателя с 60,8% до 63,7%).</w:t>
      </w: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</w:r>
      <w:r/>
    </w:p>
    <w:p>
      <w:pPr>
        <w:contextualSpacing w:val="true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/>
          <w:i/>
          <w:color w:val="auto"/>
          <w:sz w:val="24"/>
          <w:szCs w:val="24"/>
          <w:highlight w:val="none"/>
        </w:rPr>
        <w:t xml:space="preserve">3. Естественно-научная грамотность</w:t>
      </w:r>
      <w:r>
        <w:rPr>
          <w:color w:val="auto"/>
        </w:rPr>
      </w:r>
      <w:r>
        <w:rPr>
          <w:color w:val="auto"/>
        </w:rPr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highlight w:val="none"/>
        </w:rPr>
      </w:r>
      <w:r>
        <w:rPr>
          <w:color w:val="FF0000"/>
        </w:rPr>
      </w:r>
      <w:r/>
    </w:p>
    <w:tbl>
      <w:tblPr>
        <w:tblStyle w:val="484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1701"/>
        <w:gridCol w:w="1894"/>
        <w:gridCol w:w="1241"/>
        <w:gridCol w:w="1241"/>
        <w:gridCol w:w="1241"/>
        <w:gridCol w:w="1241"/>
        <w:gridCol w:w="1362"/>
        <w:gridCol w:w="1366"/>
        <w:gridCol w:w="1187"/>
      </w:tblGrid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Класс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Дата проведения диагностической работы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Число обучающихся в классе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8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Число участников диагностической работы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5"/>
            <w:tcW w:w="63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Результаты контроля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36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% успеваемости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1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% качества знаний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rPr/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Недостаточный уровень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Низкий уровень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Средний уровень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Повышенный уровень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3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Высокий уровень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3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8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z w:val="24"/>
                <w:highlight w:val="none"/>
              </w:rPr>
              <w:t xml:space="preserve">6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04.04.2025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14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8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</w:rPr>
              <w:t xml:space="preserve">14 (100%)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</w:rPr>
              <w:t xml:space="preserve">1 (7,1%)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</w:rPr>
              <w:t xml:space="preserve">5 (35,7%)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3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</w:rPr>
              <w:t xml:space="preserve">8 (57,1%)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</w:rPr>
              <w:t xml:space="preserve">100%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1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</w:rPr>
              <w:t xml:space="preserve">92,9%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  <w:t xml:space="preserve">8 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17.03.2025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26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8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23 (88,5%)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2 (8,7%)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0 (0%)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1 (4,3%)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3 (13,0%)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3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17 (73,9%)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91,3%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1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86,96%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  <w:t xml:space="preserve">9 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</w:rPr>
              <w:t xml:space="preserve">17.03.2025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25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8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21 (84%)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 (4,8%)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 (4,8%)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3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19 (90,5%)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95,2%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1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90,5%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</w:tbl>
    <w:p>
      <w:pPr>
        <w:ind w:left="-283" w:right="0" w:firstLine="0"/>
        <w:jc w:val="both"/>
        <w:rPr>
          <w:color w:val="FF0000"/>
        </w:rPr>
      </w:pP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Во всех классах наблюдаются высокие показатели успеваемости и качества знаний по </w:t>
      </w: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естественнонаучной грамотности.</w:t>
      </w:r>
      <w:r>
        <w:rPr>
          <w:color w:val="auto"/>
        </w:rPr>
      </w:r>
      <w:r/>
      <w:r>
        <w:rPr>
          <w:rFonts w:ascii="Times New Roman" w:hAnsi="Times New Roman" w:cs="Times New Roman"/>
          <w:b w:val="false"/>
          <w:i w:val="false"/>
          <w:color w:val="FF0000"/>
          <w:sz w:val="24"/>
          <w:szCs w:val="24"/>
          <w:highlight w:val="none"/>
        </w:rPr>
      </w:r>
      <w:r>
        <w:rPr>
          <w:color w:val="FF0000"/>
        </w:rPr>
      </w:r>
      <w:r/>
    </w:p>
    <w:p>
      <w:pPr>
        <w:contextualSpacing w:val="true"/>
        <w:ind w:left="-283" w:right="0" w:firstLine="0"/>
        <w:jc w:val="center"/>
        <w:rPr>
          <w:color w:val="FF0000"/>
        </w:rPr>
        <w:suppressLineNumbers w:val="0"/>
      </w:pPr>
      <w:r>
        <w:rPr>
          <w:color w:val="FF0000"/>
        </w:rPr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Сопоставительный анализ результатов оценки функциональной грамотности</w:t>
      </w:r>
      <w:r>
        <w:rPr>
          <w:color w:val="auto"/>
        </w:rPr>
      </w:r>
      <w:r>
        <w:rPr>
          <w:color w:val="auto"/>
        </w:rPr>
      </w:r>
    </w:p>
    <w:p>
      <w:pPr>
        <w:contextualSpacing w:val="true"/>
        <w:jc w:val="center"/>
        <w:rPr>
          <w:rFonts w:ascii="Times New Roman" w:hAnsi="Times New Roman" w:cs="Times New Roman"/>
          <w:color w:val="auto"/>
          <w:highlight w:val="none"/>
        </w:rPr>
        <w:suppressLineNumbers w:val="0"/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по направлению «Естественно-научная грамотность»</w:t>
      </w:r>
      <w:r>
        <w:rPr>
          <w:color w:val="auto"/>
        </w:rPr>
      </w:r>
      <w:r>
        <w:rPr>
          <w:color w:val="auto"/>
        </w:rPr>
      </w:r>
    </w:p>
    <w:tbl>
      <w:tblPr>
        <w:tblStyle w:val="484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1701"/>
        <w:gridCol w:w="1894"/>
        <w:gridCol w:w="1241"/>
        <w:gridCol w:w="1241"/>
        <w:gridCol w:w="1241"/>
        <w:gridCol w:w="1241"/>
        <w:gridCol w:w="1362"/>
        <w:gridCol w:w="1366"/>
        <w:gridCol w:w="1187"/>
      </w:tblGrid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Класс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Дата проведения диагностической работы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Число обучающихся в классе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8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Число участников диагностической работы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5"/>
            <w:tcW w:w="63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Результаты контроля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36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% успеваемости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1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% качества знаний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rPr/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Недостаточный уровень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Низкий уровень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Средний уровень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Повышенный уровень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3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Высокий уровень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3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8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  <w:t xml:space="preserve">6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04.10.2024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04.04.2025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</w:p>
        </w:tc>
        <w:tc>
          <w:tcPr>
            <w:tcW w:w="18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14 (93,3%)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</w:rPr>
              <w:t xml:space="preserve">14 (100%)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 (7,1%)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 (7,1%)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</w:rPr>
              <w:t xml:space="preserve">1 (7,1%)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3 (21,4%)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</w:rPr>
              <w:t xml:space="preserve">5 (35,7%)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r>
            <w:r/>
          </w:p>
        </w:tc>
        <w:tc>
          <w:tcPr>
            <w:tcW w:w="13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 (64,3%)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</w:rPr>
              <w:t xml:space="preserve">8 (57,1%)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r>
            <w:r/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92,9%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</w:rPr>
              <w:t xml:space="preserve">100%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r>
            <w:r/>
          </w:p>
        </w:tc>
        <w:tc>
          <w:tcPr>
            <w:tcW w:w="11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85,7%</w:t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</w:rPr>
              <w:t xml:space="preserve">92,9%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  <w:t xml:space="preserve">8 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10.10.2024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17.03.2025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t xml:space="preserve">25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26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8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22 (88%)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23 (88,5%)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 (4,5%)</w:t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2 (8,7%)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0 (0%)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 (40,9%)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1 (4,3%)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3 (13,6%)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3 (13,0%)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3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 (40,9%)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17 (73,9%)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95,5%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91,3%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1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54,5%</w:t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86,96%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  <w:t xml:space="preserve">9 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11.10.2024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</w:rPr>
              <w:t xml:space="preserve">17.03.2025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25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r>
            <w:r/>
          </w:p>
        </w:tc>
        <w:tc>
          <w:tcPr>
            <w:tcW w:w="18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22 (88%)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21 (84%)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2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2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 (4,8%)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2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 (4,8%)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2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6 (27,3%)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3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16 (72,7%)</w:t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19 (90,5%)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3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100%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95,2%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1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100%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90,5%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</w:tr>
    </w:tbl>
    <w:p>
      <w:pPr>
        <w:contextualSpacing w:val="true"/>
        <w:jc w:val="both"/>
        <w:rPr>
          <w:rFonts w:ascii="Times New Roman" w:hAnsi="Times New Roman" w:cs="Times New Roman" w:eastAsia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 w:val="false"/>
          <w:i w:val="false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 w:eastAsia="Times New Roman"/>
          <w:color w:val="auto"/>
          <w:sz w:val="24"/>
        </w:rPr>
        <w:t xml:space="preserve">По результатам диагностики видно, что во всех классах высокие показатели успеваемости и качества знаний обучающихся</w:t>
      </w:r>
      <w:r>
        <w:rPr>
          <w:color w:val="auto"/>
        </w:rPr>
        <w:t xml:space="preserve"> (</w:t>
      </w:r>
      <w:r>
        <w:rPr>
          <w:rFonts w:ascii="Times New Roman" w:hAnsi="Times New Roman" w:cs="Times New Roman" w:eastAsia="Times New Roman"/>
          <w:color w:val="auto"/>
          <w:sz w:val="24"/>
        </w:rPr>
        <w:t xml:space="preserve">работающие учителя: Козолуп Т.Д., Летовальцева С.Ю.).</w:t>
      </w:r>
      <w:r>
        <w:rPr>
          <w:rFonts w:ascii="Times New Roman" w:hAnsi="Times New Roman" w:cs="Times New Roman" w:eastAsia="Times New Roman"/>
          <w:color w:val="auto"/>
          <w:sz w:val="24"/>
        </w:rPr>
        <w:t xml:space="preserve"> Общая успеваемость по естественнонаучной  гр</w:t>
      </w:r>
      <w:r>
        <w:rPr>
          <w:rFonts w:ascii="Times New Roman" w:hAnsi="Times New Roman" w:cs="Times New Roman" w:eastAsia="Times New Roman"/>
          <w:color w:val="auto"/>
          <w:sz w:val="24"/>
        </w:rPr>
        <w:t xml:space="preserve">а</w:t>
      </w:r>
      <w:r>
        <w:rPr>
          <w:rFonts w:ascii="Times New Roman" w:hAnsi="Times New Roman" w:cs="Times New Roman" w:eastAsia="Times New Roman"/>
          <w:color w:val="auto"/>
          <w:sz w:val="24"/>
        </w:rPr>
        <w:t xml:space="preserve">мотности составляет 95,5%, что на 0,6% ниже в сравнении с результатами входного контроля (снижение показателя с 96,1% до 95,5%); общее качество знаний составляет 90,1%, что на 10% выше показателя входного контроля (повышение показателя с 80,1% до 90,1%).</w:t>
      </w:r>
      <w:r>
        <w:rPr>
          <w:rFonts w:ascii="Times New Roman" w:hAnsi="Times New Roman" w:cs="Times New Roman" w:eastAsia="Times New Roman"/>
          <w:color w:val="auto"/>
          <w:sz w:val="24"/>
        </w:rPr>
      </w:r>
      <w:r>
        <w:rPr>
          <w:rFonts w:ascii="Times New Roman" w:hAnsi="Times New Roman" w:cs="Times New Roman" w:eastAsia="Times New Roman"/>
          <w:color w:val="auto"/>
          <w:sz w:val="24"/>
        </w:rPr>
      </w:r>
    </w:p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/>
          <w:i/>
          <w:color w:val="auto"/>
          <w:sz w:val="24"/>
          <w:szCs w:val="24"/>
          <w:highlight w:val="none"/>
        </w:rPr>
        <w:t xml:space="preserve">Вывод:</w:t>
      </w: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 В 6,8,9 классах в 2024-2025 учебном году обучается 65 обучающихся. Из общего числа обучающихся данных классов мониторингу по оценке  функциональной грамотности по направлениям: читательская, математическая, естественнонаучная грамотность было подвергнуто:</w:t>
      </w:r>
      <w:r>
        <w:rPr>
          <w:color w:val="auto"/>
        </w:rPr>
      </w:r>
      <w:r>
        <w:rPr>
          <w:color w:val="auto"/>
        </w:rPr>
      </w: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</w:r>
      <w:r>
        <w:rPr>
          <w:color w:val="auto"/>
        </w:rPr>
      </w:r>
      <w:r>
        <w:rPr>
          <w:color w:val="auto"/>
        </w:rPr>
      </w:r>
    </w:p>
    <w:tbl>
      <w:tblPr>
        <w:tblStyle w:val="484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3005"/>
        <w:gridCol w:w="4006"/>
        <w:gridCol w:w="4006"/>
        <w:gridCol w:w="4006"/>
      </w:tblGrid>
      <w:tr>
        <w:trPr/>
        <w:tc>
          <w:tcPr>
            <w:tcW w:w="3005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Класс</w:t>
            </w:r>
            <w:r>
              <w:rPr>
                <w:color w:val="auto"/>
              </w:rPr>
            </w:r>
            <w:r/>
          </w:p>
        </w:tc>
        <w:tc>
          <w:tcPr>
            <w:tcW w:w="4006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4006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8 </w:t>
            </w:r>
            <w:r>
              <w:rPr>
                <w:color w:val="auto"/>
              </w:rPr>
            </w:r>
            <w:r/>
          </w:p>
        </w:tc>
        <w:tc>
          <w:tcPr>
            <w:tcW w:w="4006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 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3005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Читательская грамотность</w:t>
            </w:r>
            <w:r>
              <w:rPr>
                <w:color w:val="auto"/>
              </w:rPr>
            </w:r>
            <w:r/>
          </w:p>
        </w:tc>
        <w:tc>
          <w:tcPr>
            <w:tcW w:w="40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Диагностика не состоялась по техническим причинам.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006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23 (88,5%)</w:t>
            </w:r>
            <w:r>
              <w:rPr>
                <w:color w:val="auto"/>
              </w:rPr>
            </w:r>
            <w:r/>
          </w:p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Не прошли диагностику 3 обучающихся (1 обучающаяся по болезни; 2 обучающихся по неуважительным причинам)</w:t>
            </w:r>
            <w:r>
              <w:rPr>
                <w:color w:val="auto"/>
              </w:rPr>
              <w:t xml:space="preserve">.</w:t>
            </w:r>
            <w:r/>
          </w:p>
        </w:tc>
        <w:tc>
          <w:tcPr>
            <w:tcW w:w="4006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21 (84,0%)</w:t>
            </w:r>
            <w:r>
              <w:rPr>
                <w:color w:val="auto"/>
              </w:rPr>
            </w:r>
            <w:r/>
          </w:p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Не прошли диагностику 4 обучающихся 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по болезни.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005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Математическая грамотность</w:t>
            </w:r>
            <w:r>
              <w:rPr>
                <w:color w:val="auto"/>
              </w:rPr>
            </w:r>
            <w:r/>
          </w:p>
        </w:tc>
        <w:tc>
          <w:tcPr>
            <w:tcW w:w="40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Диагностика не состоялась по техническим причинам.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r/>
            <w:r/>
          </w:p>
        </w:tc>
        <w:tc>
          <w:tcPr>
            <w:tcW w:w="4006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22 (84,6%)</w:t>
            </w:r>
            <w:r>
              <w:rPr>
                <w:color w:val="auto"/>
              </w:rPr>
            </w:r>
            <w:r/>
          </w:p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Не прошли диагностику 4 обучающихся (2 обучающихся по болезни; 1 обучающаяся по уважительной причине; 1 обучающаяся по неуважительной причине).</w:t>
            </w:r>
            <w:r>
              <w:rPr>
                <w:color w:val="auto"/>
              </w:rPr>
            </w:r>
            <w:r/>
          </w:p>
        </w:tc>
        <w:tc>
          <w:tcPr>
            <w:tcW w:w="4006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22 (88%)</w:t>
            </w:r>
            <w:r>
              <w:rPr>
                <w:color w:val="auto"/>
              </w:rPr>
            </w:r>
            <w:r/>
          </w:p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Не прошли диагностику 3 обучающихся (2 обучающихся по болезни; 1 обучающийся по неуважительной причине).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3005" w:type="dxa"/>
            <w:textDirection w:val="lrTb"/>
            <w:noWrap w:val="false"/>
          </w:tcPr>
          <w:p>
            <w:pPr>
              <w:contextualSpacing w:val="true"/>
              <w:jc w:val="left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Естественно-научная грамотность</w:t>
            </w:r>
            <w:r>
              <w:rPr>
                <w:color w:val="auto"/>
              </w:rPr>
            </w:r>
            <w:r/>
          </w:p>
        </w:tc>
        <w:tc>
          <w:tcPr>
            <w:tcW w:w="4006" w:type="dxa"/>
            <w:textDirection w:val="lrTb"/>
            <w:noWrap w:val="false"/>
          </w:tcPr>
          <w:p>
            <w:pPr>
              <w:contextualSpacing w:val="true"/>
              <w:jc w:val="left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14 (100%)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4006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FF000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23 (88,5%)</w:t>
            </w:r>
            <w:r>
              <w:rPr>
                <w:color w:val="auto"/>
              </w:rPr>
            </w:r>
            <w:r/>
          </w:p>
          <w:p>
            <w:pPr>
              <w:contextualSpacing w:val="true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Не прошли диагностику 3 обучающихся (1 обучающийся по болезни; 2 обучающихся по уважительной причине).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4006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21 (84%)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contextualSpacing w:val="true"/>
              <w:jc w:val="left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Не прошли диагностику 4 обучающихся (2 обучающихся по болезни; 2 обучающихся по уважительной причине).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</w:tbl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 w:val="false"/>
          <w:i w:val="false"/>
          <w:color w:val="FF0000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По результатам мониторинга видно, что общая успеваемость и качество знаний по направлениям следующие:</w:t>
      </w:r>
      <w:r>
        <w:rPr>
          <w:color w:val="FF0000"/>
        </w:rPr>
      </w:r>
      <w:r/>
    </w:p>
    <w:tbl>
      <w:tblPr>
        <w:tblStyle w:val="484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3756"/>
        <w:gridCol w:w="3756"/>
        <w:gridCol w:w="3756"/>
        <w:gridCol w:w="3756"/>
      </w:tblGrid>
      <w:tr>
        <w:trPr/>
        <w:tc>
          <w:tcPr>
            <w:tcW w:w="3756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Направление функциональной грамотности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3756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Общая успеваемость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3756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Общее качество знаний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3756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Динамика показателей в сравнении с периодом сентябрь-октябрь 2024 года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rPr/>
        <w:tc>
          <w:tcPr>
            <w:tcW w:w="3756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Читательская грамотность 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3756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95,7 %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3756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68,7%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3756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szCs w:val="24"/>
                <w:highlight w:val="none"/>
                <w:vertAlign w:val="baseli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</w:rPr>
              <w:t xml:space="preserve">Успеваемость 95,4%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  <w:vertAlign w:val="baseline"/>
              </w:rPr>
            </w:r>
            <m:oMath>
              <m:r>
                <w:rPr>
                  <w:rFonts w:ascii="Cambria Math" w:hAnsi="Cambria Math" w:cs="Cambria Math" w:eastAsia="Cambria Math"/>
                  <w:color w:val="auto"/>
                  <w:sz w:val="24"/>
                </w:rPr>
                <m:rPr/>
                <m:t>→95,7%</m:t>
              </m:r>
            </m:oMath>
            <w:r>
              <w:rPr>
                <w:rFonts w:ascii="Times New Roman" w:hAnsi="Times New Roman" w:cs="Times New Roman" w:eastAsia="Times New Roman"/>
                <w:color w:val="auto"/>
              </w:rPr>
            </w:r>
            <w:r>
              <w:rPr>
                <w:rFonts w:ascii="Times New Roman" w:hAnsi="Times New Roman" w:cs="Times New Roman" w:eastAsia="Times New Roman"/>
                <w:color w:val="auto"/>
              </w:rPr>
            </w:r>
          </w:p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szCs w:val="24"/>
                <w:highlight w:val="none"/>
                <w:vertAlign w:val="baseli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  <w:vertAlign w:val="baseline"/>
              </w:rPr>
              <w:t xml:space="preserve">Качество знаний 75,4%</w:t>
            </w:r>
            <m:oMath>
              <m:r>
                <w:rPr>
                  <w:rFonts w:ascii="Cambria Math" w:hAnsi="Cambria Math" w:cs="Cambria Math" w:eastAsia="Cambria Math"/>
                  <w:color w:val="auto"/>
                  <w:sz w:val="24"/>
                </w:rPr>
                <m:rPr/>
                <m:t>→</m:t>
              </m:r>
              <m:r>
                <w:rPr>
                  <w:rFonts w:ascii="Cambria Math" w:hAnsi="Cambria Math" w:cs="Cambria Math" w:eastAsia="Cambria Math"/>
                  <w:color w:val="auto"/>
                  <w:sz w:val="24"/>
                </w:rPr>
                <m:rPr/>
                <m:t>68,7%</m:t>
              </m:r>
            </m:oMath>
            <w:r>
              <w:rPr>
                <w:rFonts w:ascii="Times New Roman" w:hAnsi="Times New Roman" w:cs="Times New Roman" w:eastAsia="Times New Roman"/>
                <w:color w:val="auto"/>
              </w:rPr>
            </w:r>
            <w:r>
              <w:rPr>
                <w:rFonts w:ascii="Times New Roman" w:hAnsi="Times New Roman" w:cs="Times New Roman" w:eastAsia="Times New Roman"/>
                <w:color w:val="auto"/>
              </w:rPr>
            </w:r>
          </w:p>
        </w:tc>
      </w:tr>
      <w:tr>
        <w:trPr/>
        <w:tc>
          <w:tcPr>
            <w:tcW w:w="3756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Математическая грамотность 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3756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90,9%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3756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63,7%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3756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</w:rPr>
              <w:t xml:space="preserve">Успеваемость 88,4%</w:t>
            </w:r>
            <m:oMath>
              <m:r>
                <w:rPr>
                  <w:rFonts w:ascii="Cambria Math" w:hAnsi="Cambria Math" w:cs="Cambria Math" w:eastAsia="Cambria Math"/>
                  <w:color w:val="auto"/>
                  <w:sz w:val="24"/>
                </w:rPr>
                <m:rPr/>
                <m:t>→</m:t>
              </m:r>
              <m:r>
                <w:rPr>
                  <w:rFonts w:ascii="Cambria Math" w:hAnsi="Cambria Math" w:cs="Cambria Math" w:eastAsia="Cambria Math"/>
                  <w:color w:val="auto"/>
                  <w:sz w:val="24"/>
                </w:rPr>
                <m:rPr/>
                <m:t>90,9%</m:t>
              </m:r>
            </m:oMath>
            <w:r>
              <w:rPr>
                <w:rFonts w:ascii="Times New Roman" w:hAnsi="Times New Roman" w:cs="Times New Roman" w:eastAsia="Times New Roman"/>
                <w:color w:val="auto"/>
              </w:rPr>
            </w:r>
            <w:r>
              <w:rPr>
                <w:rFonts w:ascii="Times New Roman" w:hAnsi="Times New Roman" w:cs="Times New Roman" w:eastAsia="Times New Roman"/>
                <w:color w:val="auto"/>
              </w:rPr>
            </w:r>
          </w:p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Качество знаний 60,8%</w:t>
            </w:r>
            <m:oMath>
              <m:r>
                <w:rPr>
                  <w:rFonts w:ascii="Cambria Math" w:hAnsi="Cambria Math" w:cs="Cambria Math" w:eastAsia="Cambria Math"/>
                  <w:color w:val="auto"/>
                  <w:sz w:val="24"/>
                </w:rPr>
                <m:rPr/>
                <m:t>→</m:t>
              </m:r>
              <m:r>
                <w:rPr>
                  <w:rFonts w:ascii="Cambria Math" w:hAnsi="Cambria Math" w:cs="Cambria Math" w:eastAsia="Cambria Math"/>
                  <w:color w:val="auto"/>
                  <w:sz w:val="24"/>
                </w:rPr>
                <m:rPr/>
                <m:t>63,7%</m:t>
              </m:r>
            </m:oMath>
            <w:r>
              <w:rPr>
                <w:rFonts w:ascii="Times New Roman" w:hAnsi="Times New Roman" w:cs="Times New Roman" w:eastAsia="Times New Roman"/>
                <w:color w:val="auto"/>
              </w:rPr>
            </w:r>
            <w:r>
              <w:rPr>
                <w:rFonts w:ascii="Times New Roman" w:hAnsi="Times New Roman" w:cs="Times New Roman" w:eastAsia="Times New Roman"/>
                <w:color w:val="auto"/>
              </w:rPr>
            </w:r>
          </w:p>
        </w:tc>
      </w:tr>
      <w:tr>
        <w:trPr/>
        <w:tc>
          <w:tcPr>
            <w:tcW w:w="3756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Естественно-научная грамотность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3756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95,5%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3756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90,1%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3756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</w:rPr>
              <w:t xml:space="preserve">Успеваемость 96,1%</w:t>
            </w:r>
            <m:oMath>
              <m:r>
                <w:rPr>
                  <w:rFonts w:ascii="Cambria Math" w:hAnsi="Cambria Math" w:cs="Cambria Math" w:eastAsia="Cambria Math"/>
                  <w:color w:val="auto"/>
                  <w:sz w:val="24"/>
                </w:rPr>
                <m:rPr/>
                <m:t>→</m:t>
              </m:r>
              <m:r>
                <w:rPr>
                  <w:rFonts w:ascii="Cambria Math" w:hAnsi="Cambria Math" w:cs="Cambria Math" w:eastAsia="Cambria Math"/>
                  <w:color w:val="auto"/>
                  <w:sz w:val="24"/>
                </w:rPr>
                <m:rPr/>
                <m:t>95,5%</m:t>
              </m:r>
            </m:oMath>
            <w:r>
              <w:rPr>
                <w:rFonts w:ascii="Times New Roman" w:hAnsi="Times New Roman" w:cs="Times New Roman" w:eastAsia="Times New Roman"/>
                <w:color w:val="auto"/>
              </w:rPr>
            </w:r>
            <w:r>
              <w:rPr>
                <w:rFonts w:ascii="Times New Roman" w:hAnsi="Times New Roman" w:cs="Times New Roman" w:eastAsia="Times New Roman"/>
                <w:color w:val="auto"/>
              </w:rPr>
            </w:r>
          </w:p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Качество знаний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 80,1%</w:t>
            </w:r>
            <m:oMath>
              <m:r>
                <w:rPr>
                  <w:rFonts w:ascii="Cambria Math" w:hAnsi="Cambria Math" w:cs="Cambria Math" w:eastAsia="Cambria Math"/>
                  <w:color w:val="auto"/>
                  <w:sz w:val="24"/>
                </w:rPr>
                <m:rPr/>
                <m:t>→</m:t>
              </m:r>
              <m:r>
                <w:rPr>
                  <w:rFonts w:ascii="Cambria Math" w:hAnsi="Cambria Math" w:cs="Cambria Math" w:eastAsia="Cambria Math"/>
                  <w:color w:val="auto"/>
                  <w:sz w:val="24"/>
                </w:rPr>
                <m:rPr/>
                <m:t>90,1%</m:t>
              </m:r>
            </m:oMath>
            <w:r>
              <w:rPr>
                <w:rFonts w:ascii="Times New Roman" w:hAnsi="Times New Roman" w:cs="Times New Roman" w:eastAsia="Times New Roman"/>
                <w:color w:val="auto"/>
              </w:rPr>
            </w:r>
            <w:r>
              <w:rPr>
                <w:rFonts w:ascii="Times New Roman" w:hAnsi="Times New Roman" w:cs="Times New Roman" w:eastAsia="Times New Roman"/>
                <w:color w:val="auto"/>
              </w:rPr>
            </w:r>
          </w:p>
        </w:tc>
      </w:tr>
    </w:tbl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Динамика результатов диагностики положительная по всем направлениям.</w:t>
      </w:r>
      <w:r>
        <w:rPr>
          <w:color w:val="auto"/>
        </w:rPr>
      </w:r>
      <w:r>
        <w:rPr>
          <w:color w:val="auto"/>
        </w:rPr>
      </w:r>
    </w:p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/>
          <w:i/>
          <w:color w:val="auto"/>
          <w:sz w:val="24"/>
          <w:szCs w:val="24"/>
          <w:highlight w:val="none"/>
        </w:rPr>
        <w:t xml:space="preserve">Предложения:</w:t>
      </w:r>
      <w:r>
        <w:rPr>
          <w:color w:val="auto"/>
        </w:rPr>
      </w:r>
      <w:r>
        <w:rPr>
          <w:color w:val="auto"/>
        </w:rPr>
      </w:r>
    </w:p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/>
          <w:i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 1) Информацию принять к сведению.</w:t>
      </w:r>
      <w:r>
        <w:rPr>
          <w:color w:val="auto"/>
        </w:rPr>
      </w:r>
      <w:r>
        <w:rPr>
          <w:color w:val="auto"/>
        </w:rPr>
      </w:r>
    </w:p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 2) Провести анализ предложенных диагностических работ по ФГ для обучающихся 6,8,9 классов.</w:t>
      </w:r>
      <w:r>
        <w:rPr>
          <w:color w:val="auto"/>
        </w:rPr>
      </w:r>
      <w:r>
        <w:rPr>
          <w:color w:val="auto"/>
        </w:rPr>
      </w:r>
    </w:p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 3) Ознакомить родителей (законных представителей) обучающихся с результатами итогового тестирования по ФГ.</w:t>
      </w:r>
      <w:r>
        <w:rPr>
          <w:color w:val="auto"/>
        </w:rPr>
      </w:r>
      <w:r>
        <w:rPr>
          <w:color w:val="auto"/>
        </w:rPr>
      </w:r>
    </w:p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 4) Учителям-предметникам на методических объединениях рассмотреть данный вопрос, выявить проблемы повышения результативности формирования ФГ по направлениям: читательская, математическая, естественнонаучная грамотность.</w:t>
      </w:r>
      <w:r>
        <w:rPr>
          <w:color w:val="auto"/>
        </w:rPr>
      </w:r>
      <w:r>
        <w:rPr>
          <w:color w:val="auto"/>
        </w:rPr>
      </w:r>
    </w:p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 5) Перед каждым учителем поставить задачу по включению в урок по всем предметам заданий, направленных на развитие вариативности мышления обучающихся и способности применять знания в новой ситуации.</w:t>
      </w:r>
      <w:r>
        <w:rPr>
          <w:color w:val="auto"/>
        </w:rPr>
      </w:r>
      <w:r>
        <w:rPr>
          <w:color w:val="auto"/>
        </w:rPr>
      </w:r>
    </w:p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 6) Включить в планы работы МО учителей разделы по повышению качества подготовки обучающихся по ФГ.</w:t>
      </w:r>
      <w:r>
        <w:rPr>
          <w:color w:val="auto"/>
        </w:rPr>
      </w:r>
      <w:r>
        <w:rPr>
          <w:color w:val="auto"/>
        </w:rPr>
      </w:r>
    </w:p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 7) Создать условия по повышению уровня ФГ обучающихся через оптимизацию некоторых компонентов образовательных программ.</w:t>
      </w:r>
      <w:r>
        <w:rPr>
          <w:color w:val="auto"/>
        </w:rPr>
      </w:r>
      <w:r>
        <w:rPr>
          <w:color w:val="auto"/>
        </w:rPr>
      </w:r>
    </w:p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8) Создать условия для повышения компетентности педагогических работников по ФГ обучающихся через прохождение курсовой подготовки, проведение открытых уроков, обучающие семинары.</w:t>
      </w:r>
      <w:r>
        <w:rPr>
          <w:color w:val="auto"/>
        </w:rPr>
      </w:r>
      <w:r>
        <w:rPr>
          <w:color w:val="auto"/>
        </w:rPr>
      </w: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</w:r>
      <w:r>
        <w:rPr>
          <w:color w:val="auto"/>
        </w:rPr>
      </w:r>
      <w:r>
        <w:rPr>
          <w:color w:val="auto"/>
        </w:rPr>
      </w:r>
    </w:p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</w:r>
      <w:r>
        <w:rPr>
          <w:color w:val="auto"/>
        </w:rPr>
      </w:r>
      <w:r>
        <w:rPr>
          <w:color w:val="auto"/>
        </w:rPr>
      </w:r>
    </w:p>
    <w:p>
      <w:pPr>
        <w:contextualSpacing w:val="true"/>
        <w:jc w:val="center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Зам. директора по УВР:          </w:t>
      </w:r>
      <w:r>
        <w:rPr>
          <w:rFonts w:ascii="Times New Roman" w:hAnsi="Times New Roman" w:cs="Times New Roman"/>
          <w:b w:val="false"/>
          <w:i w:val="false"/>
          <w:color w:val="FF0000"/>
          <w:sz w:val="24"/>
          <w:szCs w:val="24"/>
          <w:highlight w:val="none"/>
        </w:rPr>
        <w:t xml:space="preserve">                </w:t>
      </w: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                             Цымбал Т.Ю.</w:t>
      </w:r>
      <w:r>
        <w:rPr>
          <w:color w:val="auto"/>
        </w:rPr>
      </w:r>
      <w:r/>
    </w:p>
    <w:sectPr>
      <w:footnotePr/>
      <w:endnotePr/>
      <w:type w:val="nextPage"/>
      <w:pgSz w:w="16838" w:h="11906" w:orient="landscape"/>
      <w:pgMar w:top="284" w:right="1134" w:bottom="142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51">
    <w:name w:val="Heading 1"/>
    <w:basedOn w:val="627"/>
    <w:next w:val="627"/>
    <w:link w:val="45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52">
    <w:name w:val="Heading 1 Char"/>
    <w:basedOn w:val="628"/>
    <w:link w:val="451"/>
    <w:uiPriority w:val="9"/>
    <w:rPr>
      <w:rFonts w:ascii="Arial" w:hAnsi="Arial" w:cs="Arial" w:eastAsia="Arial"/>
      <w:sz w:val="40"/>
      <w:szCs w:val="40"/>
    </w:rPr>
  </w:style>
  <w:style w:type="paragraph" w:styleId="453">
    <w:name w:val="Heading 2"/>
    <w:basedOn w:val="627"/>
    <w:next w:val="627"/>
    <w:link w:val="45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4">
    <w:name w:val="Heading 2 Char"/>
    <w:basedOn w:val="628"/>
    <w:link w:val="453"/>
    <w:uiPriority w:val="9"/>
    <w:rPr>
      <w:rFonts w:ascii="Arial" w:hAnsi="Arial" w:cs="Arial" w:eastAsia="Arial"/>
      <w:sz w:val="34"/>
    </w:rPr>
  </w:style>
  <w:style w:type="paragraph" w:styleId="455">
    <w:name w:val="Heading 3"/>
    <w:basedOn w:val="627"/>
    <w:next w:val="627"/>
    <w:link w:val="45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6">
    <w:name w:val="Heading 3 Char"/>
    <w:basedOn w:val="628"/>
    <w:link w:val="455"/>
    <w:uiPriority w:val="9"/>
    <w:rPr>
      <w:rFonts w:ascii="Arial" w:hAnsi="Arial" w:cs="Arial" w:eastAsia="Arial"/>
      <w:sz w:val="30"/>
      <w:szCs w:val="30"/>
    </w:rPr>
  </w:style>
  <w:style w:type="paragraph" w:styleId="457">
    <w:name w:val="Heading 4"/>
    <w:basedOn w:val="627"/>
    <w:next w:val="627"/>
    <w:link w:val="45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8">
    <w:name w:val="Heading 4 Char"/>
    <w:basedOn w:val="628"/>
    <w:link w:val="457"/>
    <w:uiPriority w:val="9"/>
    <w:rPr>
      <w:rFonts w:ascii="Arial" w:hAnsi="Arial" w:cs="Arial" w:eastAsia="Arial"/>
      <w:b/>
      <w:bCs/>
      <w:sz w:val="26"/>
      <w:szCs w:val="26"/>
    </w:rPr>
  </w:style>
  <w:style w:type="paragraph" w:styleId="459">
    <w:name w:val="Heading 5"/>
    <w:basedOn w:val="627"/>
    <w:next w:val="627"/>
    <w:link w:val="46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60">
    <w:name w:val="Heading 5 Char"/>
    <w:basedOn w:val="628"/>
    <w:link w:val="459"/>
    <w:uiPriority w:val="9"/>
    <w:rPr>
      <w:rFonts w:ascii="Arial" w:hAnsi="Arial" w:cs="Arial" w:eastAsia="Arial"/>
      <w:b/>
      <w:bCs/>
      <w:sz w:val="24"/>
      <w:szCs w:val="24"/>
    </w:rPr>
  </w:style>
  <w:style w:type="paragraph" w:styleId="461">
    <w:name w:val="Heading 6"/>
    <w:basedOn w:val="627"/>
    <w:next w:val="627"/>
    <w:link w:val="46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62">
    <w:name w:val="Heading 6 Char"/>
    <w:basedOn w:val="628"/>
    <w:link w:val="461"/>
    <w:uiPriority w:val="9"/>
    <w:rPr>
      <w:rFonts w:ascii="Arial" w:hAnsi="Arial" w:cs="Arial" w:eastAsia="Arial"/>
      <w:b/>
      <w:bCs/>
      <w:sz w:val="22"/>
      <w:szCs w:val="22"/>
    </w:rPr>
  </w:style>
  <w:style w:type="paragraph" w:styleId="463">
    <w:name w:val="Heading 7"/>
    <w:basedOn w:val="627"/>
    <w:next w:val="627"/>
    <w:link w:val="46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4">
    <w:name w:val="Heading 7 Char"/>
    <w:basedOn w:val="628"/>
    <w:link w:val="46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5">
    <w:name w:val="Heading 8"/>
    <w:basedOn w:val="627"/>
    <w:next w:val="627"/>
    <w:link w:val="46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6">
    <w:name w:val="Heading 8 Char"/>
    <w:basedOn w:val="628"/>
    <w:link w:val="465"/>
    <w:uiPriority w:val="9"/>
    <w:rPr>
      <w:rFonts w:ascii="Arial" w:hAnsi="Arial" w:cs="Arial" w:eastAsia="Arial"/>
      <w:i/>
      <w:iCs/>
      <w:sz w:val="22"/>
      <w:szCs w:val="22"/>
    </w:rPr>
  </w:style>
  <w:style w:type="paragraph" w:styleId="467">
    <w:name w:val="Heading 9"/>
    <w:basedOn w:val="627"/>
    <w:next w:val="627"/>
    <w:link w:val="46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8">
    <w:name w:val="Heading 9 Char"/>
    <w:basedOn w:val="628"/>
    <w:link w:val="467"/>
    <w:uiPriority w:val="9"/>
    <w:rPr>
      <w:rFonts w:ascii="Arial" w:hAnsi="Arial" w:cs="Arial" w:eastAsia="Arial"/>
      <w:i/>
      <w:iCs/>
      <w:sz w:val="21"/>
      <w:szCs w:val="21"/>
    </w:rPr>
  </w:style>
  <w:style w:type="paragraph" w:styleId="469">
    <w:name w:val="No Spacing"/>
    <w:qFormat/>
    <w:uiPriority w:val="1"/>
    <w:pPr>
      <w:spacing w:lineRule="auto" w:line="240" w:after="0" w:before="0"/>
    </w:pPr>
  </w:style>
  <w:style w:type="paragraph" w:styleId="470">
    <w:name w:val="Title"/>
    <w:basedOn w:val="627"/>
    <w:next w:val="627"/>
    <w:link w:val="47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71">
    <w:name w:val="Title Char"/>
    <w:basedOn w:val="628"/>
    <w:link w:val="470"/>
    <w:uiPriority w:val="10"/>
    <w:rPr>
      <w:sz w:val="48"/>
      <w:szCs w:val="48"/>
    </w:rPr>
  </w:style>
  <w:style w:type="paragraph" w:styleId="472">
    <w:name w:val="Subtitle"/>
    <w:basedOn w:val="627"/>
    <w:next w:val="627"/>
    <w:link w:val="473"/>
    <w:qFormat/>
    <w:uiPriority w:val="11"/>
    <w:rPr>
      <w:sz w:val="24"/>
      <w:szCs w:val="24"/>
    </w:rPr>
    <w:pPr>
      <w:spacing w:after="200" w:before="200"/>
    </w:pPr>
  </w:style>
  <w:style w:type="character" w:styleId="473">
    <w:name w:val="Subtitle Char"/>
    <w:basedOn w:val="628"/>
    <w:link w:val="472"/>
    <w:uiPriority w:val="11"/>
    <w:rPr>
      <w:sz w:val="24"/>
      <w:szCs w:val="24"/>
    </w:rPr>
  </w:style>
  <w:style w:type="paragraph" w:styleId="474">
    <w:name w:val="Quote"/>
    <w:basedOn w:val="627"/>
    <w:next w:val="627"/>
    <w:link w:val="475"/>
    <w:qFormat/>
    <w:uiPriority w:val="29"/>
    <w:rPr>
      <w:i/>
    </w:rPr>
    <w:pPr>
      <w:ind w:left="720" w:right="720"/>
    </w:pPr>
  </w:style>
  <w:style w:type="character" w:styleId="475">
    <w:name w:val="Quote Char"/>
    <w:link w:val="474"/>
    <w:uiPriority w:val="29"/>
    <w:rPr>
      <w:i/>
    </w:rPr>
  </w:style>
  <w:style w:type="paragraph" w:styleId="476">
    <w:name w:val="Intense Quote"/>
    <w:basedOn w:val="627"/>
    <w:next w:val="627"/>
    <w:link w:val="477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7">
    <w:name w:val="Intense Quote Char"/>
    <w:link w:val="476"/>
    <w:uiPriority w:val="30"/>
    <w:rPr>
      <w:i/>
    </w:rPr>
  </w:style>
  <w:style w:type="paragraph" w:styleId="478">
    <w:name w:val="Header"/>
    <w:basedOn w:val="627"/>
    <w:link w:val="47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9">
    <w:name w:val="Header Char"/>
    <w:basedOn w:val="628"/>
    <w:link w:val="478"/>
    <w:uiPriority w:val="99"/>
  </w:style>
  <w:style w:type="paragraph" w:styleId="480">
    <w:name w:val="Footer"/>
    <w:basedOn w:val="627"/>
    <w:link w:val="48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1">
    <w:name w:val="Footer Char"/>
    <w:basedOn w:val="628"/>
    <w:link w:val="480"/>
    <w:uiPriority w:val="99"/>
  </w:style>
  <w:style w:type="paragraph" w:styleId="482">
    <w:name w:val="Caption"/>
    <w:basedOn w:val="627"/>
    <w:next w:val="62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3">
    <w:name w:val="Caption Char"/>
    <w:basedOn w:val="482"/>
    <w:link w:val="480"/>
    <w:uiPriority w:val="99"/>
  </w:style>
  <w:style w:type="table" w:styleId="484">
    <w:name w:val="Table Grid"/>
    <w:basedOn w:val="62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5">
    <w:name w:val="Table Grid Light"/>
    <w:basedOn w:val="62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6">
    <w:name w:val="Plain Table 1"/>
    <w:basedOn w:val="62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7">
    <w:name w:val="Plain Table 2"/>
    <w:basedOn w:val="62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8">
    <w:name w:val="Plain Table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9">
    <w:name w:val="Plain Table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Plain Table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91">
    <w:name w:val="Grid Table 1 Light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1 Light 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Grid Table 1 Light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Grid Table 1 Light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>
    <w:name w:val="Grid Table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2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2 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2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2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3 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0">
    <w:name w:val="Grid Table 3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1">
    <w:name w:val="Grid Table 3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2">
    <w:name w:val="Grid Table 4"/>
    <w:basedOn w:val="6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3">
    <w:name w:val="Grid Table 4 - Accent 1"/>
    <w:basedOn w:val="6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4">
    <w:name w:val="Grid Table 4 - Accent 2"/>
    <w:basedOn w:val="6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5">
    <w:name w:val="Grid Table 4 - Accent 3"/>
    <w:basedOn w:val="6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6">
    <w:name w:val="Grid Table 4 - Accent 4"/>
    <w:basedOn w:val="6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7">
    <w:name w:val="Grid Table 4 - Accent 5"/>
    <w:basedOn w:val="6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8">
    <w:name w:val="Grid Table 4 - Accent 6"/>
    <w:basedOn w:val="6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9">
    <w:name w:val="Grid Table 5 Dark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20">
    <w:name w:val="Grid Table 5 Dark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22">
    <w:name w:val="Grid Table 5 Dark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23">
    <w:name w:val="Grid Table 5 Dark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24">
    <w:name w:val="Grid Table 5 Dark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25">
    <w:name w:val="Grid Table 5 Dark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26">
    <w:name w:val="Grid Table 6 Colorful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7">
    <w:name w:val="Grid Table 6 Colorful 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8">
    <w:name w:val="Grid Table 6 Colorful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9">
    <w:name w:val="Grid Table 6 Colorful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30">
    <w:name w:val="Grid Table 6 Colorful 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31">
    <w:name w:val="Grid Table 6 Colorful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2">
    <w:name w:val="Grid Table 6 Colorful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3">
    <w:name w:val="Grid Table 7 Colorful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7 Colorful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7 Colorful 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7 Colorful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Grid Table 7 Colorful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1 Light 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List Table 1 Light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List Table 1 Light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7">
    <w:name w:val="List Table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8">
    <w:name w:val="List Table 2 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9">
    <w:name w:val="List Table 2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50">
    <w:name w:val="List Table 2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51">
    <w:name w:val="List Table 2 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52">
    <w:name w:val="List Table 2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3">
    <w:name w:val="List Table 2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4">
    <w:name w:val="List Table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3 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3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3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4 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>
    <w:name w:val="List Table 4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>
    <w:name w:val="List Table 4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8">
    <w:name w:val="List Table 5 Dark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5 Dark 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3">
    <w:name w:val="List Table 5 Dark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4">
    <w:name w:val="List Table 5 Dark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5">
    <w:name w:val="List Table 6 Colorful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6">
    <w:name w:val="List Table 6 Colorful 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7">
    <w:name w:val="List Table 6 Colorful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8">
    <w:name w:val="List Table 6 Colorful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9">
    <w:name w:val="List Table 6 Colorful 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80">
    <w:name w:val="List Table 6 Colorful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81">
    <w:name w:val="List Table 6 Colorful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82">
    <w:name w:val="List Table 7 Colorful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3">
    <w:name w:val="List Table 7 Colorful 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584">
    <w:name w:val="List Table 7 Colorful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85">
    <w:name w:val="List Table 7 Colorful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86">
    <w:name w:val="List Table 7 Colorful 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87">
    <w:name w:val="List Table 7 Colorful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588">
    <w:name w:val="List Table 7 Colorful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89">
    <w:name w:val="Lined - Accent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0">
    <w:name w:val="Lined - Accent 1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1">
    <w:name w:val="Lined - Accent 2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2">
    <w:name w:val="Lined - Accent 3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3">
    <w:name w:val="Lined - Accent 4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4">
    <w:name w:val="Lined - Accent 5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5">
    <w:name w:val="Lined - Accent 6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6">
    <w:name w:val="Bordered &amp; Lined - Accent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7">
    <w:name w:val="Bordered &amp; Lined - Accent 1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8">
    <w:name w:val="Bordered &amp; Lined - Accent 2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9">
    <w:name w:val="Bordered &amp; Lined - Accent 3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00">
    <w:name w:val="Bordered &amp; Lined - Accent 4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01">
    <w:name w:val="Bordered &amp; Lined - Accent 5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02">
    <w:name w:val="Bordered &amp; Lined - Accent 6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03">
    <w:name w:val="Bordered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4">
    <w:name w:val="Bordered 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5">
    <w:name w:val="Bordered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6">
    <w:name w:val="Bordered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7">
    <w:name w:val="Bordered 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8">
    <w:name w:val="Bordered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9">
    <w:name w:val="Bordered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10">
    <w:name w:val="Hyperlink"/>
    <w:uiPriority w:val="99"/>
    <w:unhideWhenUsed/>
    <w:rPr>
      <w:color w:val="0000FF" w:themeColor="hyperlink"/>
      <w:u w:val="single"/>
    </w:rPr>
  </w:style>
  <w:style w:type="paragraph" w:styleId="611">
    <w:name w:val="footnote text"/>
    <w:basedOn w:val="627"/>
    <w:link w:val="612"/>
    <w:uiPriority w:val="99"/>
    <w:semiHidden/>
    <w:unhideWhenUsed/>
    <w:rPr>
      <w:sz w:val="18"/>
    </w:rPr>
    <w:pPr>
      <w:spacing w:lineRule="auto" w:line="240" w:after="40"/>
    </w:pPr>
  </w:style>
  <w:style w:type="character" w:styleId="612">
    <w:name w:val="Footnote Text Char"/>
    <w:link w:val="611"/>
    <w:uiPriority w:val="99"/>
    <w:rPr>
      <w:sz w:val="18"/>
    </w:rPr>
  </w:style>
  <w:style w:type="character" w:styleId="613">
    <w:name w:val="footnote reference"/>
    <w:basedOn w:val="628"/>
    <w:uiPriority w:val="99"/>
    <w:unhideWhenUsed/>
    <w:rPr>
      <w:vertAlign w:val="superscript"/>
    </w:rPr>
  </w:style>
  <w:style w:type="paragraph" w:styleId="614">
    <w:name w:val="endnote text"/>
    <w:basedOn w:val="627"/>
    <w:link w:val="615"/>
    <w:uiPriority w:val="99"/>
    <w:semiHidden/>
    <w:unhideWhenUsed/>
    <w:rPr>
      <w:sz w:val="20"/>
    </w:rPr>
    <w:pPr>
      <w:spacing w:lineRule="auto" w:line="240" w:after="0"/>
    </w:pPr>
  </w:style>
  <w:style w:type="character" w:styleId="615">
    <w:name w:val="Endnote Text Char"/>
    <w:link w:val="614"/>
    <w:uiPriority w:val="99"/>
    <w:rPr>
      <w:sz w:val="20"/>
    </w:rPr>
  </w:style>
  <w:style w:type="character" w:styleId="616">
    <w:name w:val="endnote reference"/>
    <w:basedOn w:val="628"/>
    <w:uiPriority w:val="99"/>
    <w:semiHidden/>
    <w:unhideWhenUsed/>
    <w:rPr>
      <w:vertAlign w:val="superscript"/>
    </w:rPr>
  </w:style>
  <w:style w:type="paragraph" w:styleId="617">
    <w:name w:val="toc 1"/>
    <w:basedOn w:val="627"/>
    <w:next w:val="627"/>
    <w:uiPriority w:val="39"/>
    <w:unhideWhenUsed/>
    <w:pPr>
      <w:ind w:left="0" w:right="0" w:firstLine="0"/>
      <w:spacing w:after="57"/>
    </w:pPr>
  </w:style>
  <w:style w:type="paragraph" w:styleId="618">
    <w:name w:val="toc 2"/>
    <w:basedOn w:val="627"/>
    <w:next w:val="627"/>
    <w:uiPriority w:val="39"/>
    <w:unhideWhenUsed/>
    <w:pPr>
      <w:ind w:left="283" w:right="0" w:firstLine="0"/>
      <w:spacing w:after="57"/>
    </w:pPr>
  </w:style>
  <w:style w:type="paragraph" w:styleId="619">
    <w:name w:val="toc 3"/>
    <w:basedOn w:val="627"/>
    <w:next w:val="627"/>
    <w:uiPriority w:val="39"/>
    <w:unhideWhenUsed/>
    <w:pPr>
      <w:ind w:left="567" w:right="0" w:firstLine="0"/>
      <w:spacing w:after="57"/>
    </w:pPr>
  </w:style>
  <w:style w:type="paragraph" w:styleId="620">
    <w:name w:val="toc 4"/>
    <w:basedOn w:val="627"/>
    <w:next w:val="627"/>
    <w:uiPriority w:val="39"/>
    <w:unhideWhenUsed/>
    <w:pPr>
      <w:ind w:left="850" w:right="0" w:firstLine="0"/>
      <w:spacing w:after="57"/>
    </w:pPr>
  </w:style>
  <w:style w:type="paragraph" w:styleId="621">
    <w:name w:val="toc 5"/>
    <w:basedOn w:val="627"/>
    <w:next w:val="627"/>
    <w:uiPriority w:val="39"/>
    <w:unhideWhenUsed/>
    <w:pPr>
      <w:ind w:left="1134" w:right="0" w:firstLine="0"/>
      <w:spacing w:after="57"/>
    </w:pPr>
  </w:style>
  <w:style w:type="paragraph" w:styleId="622">
    <w:name w:val="toc 6"/>
    <w:basedOn w:val="627"/>
    <w:next w:val="627"/>
    <w:uiPriority w:val="39"/>
    <w:unhideWhenUsed/>
    <w:pPr>
      <w:ind w:left="1417" w:right="0" w:firstLine="0"/>
      <w:spacing w:after="57"/>
    </w:pPr>
  </w:style>
  <w:style w:type="paragraph" w:styleId="623">
    <w:name w:val="toc 7"/>
    <w:basedOn w:val="627"/>
    <w:next w:val="627"/>
    <w:uiPriority w:val="39"/>
    <w:unhideWhenUsed/>
    <w:pPr>
      <w:ind w:left="1701" w:right="0" w:firstLine="0"/>
      <w:spacing w:after="57"/>
    </w:pPr>
  </w:style>
  <w:style w:type="paragraph" w:styleId="624">
    <w:name w:val="toc 8"/>
    <w:basedOn w:val="627"/>
    <w:next w:val="627"/>
    <w:uiPriority w:val="39"/>
    <w:unhideWhenUsed/>
    <w:pPr>
      <w:ind w:left="1984" w:right="0" w:firstLine="0"/>
      <w:spacing w:after="57"/>
    </w:pPr>
  </w:style>
  <w:style w:type="paragraph" w:styleId="625">
    <w:name w:val="toc 9"/>
    <w:basedOn w:val="627"/>
    <w:next w:val="627"/>
    <w:uiPriority w:val="39"/>
    <w:unhideWhenUsed/>
    <w:pPr>
      <w:ind w:left="2268" w:right="0" w:firstLine="0"/>
      <w:spacing w:after="57"/>
    </w:pPr>
  </w:style>
  <w:style w:type="paragraph" w:styleId="626">
    <w:name w:val="TOC Heading"/>
    <w:uiPriority w:val="39"/>
    <w:unhideWhenUsed/>
  </w:style>
  <w:style w:type="paragraph" w:styleId="627" w:default="1">
    <w:name w:val="Normal"/>
    <w:qFormat/>
  </w:style>
  <w:style w:type="character" w:styleId="628" w:default="1">
    <w:name w:val="Default Paragraph Font"/>
    <w:uiPriority w:val="1"/>
    <w:semiHidden/>
    <w:unhideWhenUsed/>
  </w:style>
  <w:style w:type="table" w:styleId="6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0" w:default="1">
    <w:name w:val="No List"/>
    <w:uiPriority w:val="99"/>
    <w:semiHidden/>
    <w:unhideWhenUsed/>
  </w:style>
  <w:style w:type="paragraph" w:styleId="631">
    <w:name w:val="List Paragraph"/>
    <w:basedOn w:val="627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ONLYOFFICE/6.1.0.90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revision>15</cp:revision>
  <dcterms:created xsi:type="dcterms:W3CDTF">2022-02-15T05:26:00Z</dcterms:created>
  <dcterms:modified xsi:type="dcterms:W3CDTF">2025-06-17T07:37:59Z</dcterms:modified>
</cp:coreProperties>
</file>