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КАЗЕННОЕ УЧРЕЖДЕНИЕ</w:t>
      </w:r>
    </w:p>
    <w:p>
      <w:pPr>
        <w:pStyle w:val="Normal"/>
        <w:spacing w:before="0" w:after="0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«УПРАВЛЕНИЕ ОБРАЗОВАНИЯ»</w:t>
      </w:r>
    </w:p>
    <w:p>
      <w:pPr>
        <w:pStyle w:val="Normal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9"/>
        <w:gridCol w:w="3209"/>
        <w:gridCol w:w="3057"/>
      </w:tblGrid>
      <w:tr>
        <w:trPr/>
        <w:tc>
          <w:tcPr>
            <w:tcW w:w="3089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113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>02 апреля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2024 г.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Дальнереченск</w:t>
            </w:r>
          </w:p>
        </w:tc>
        <w:tc>
          <w:tcPr>
            <w:tcW w:w="3057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                          № 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>31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-А</w:t>
            </w:r>
          </w:p>
        </w:tc>
      </w:tr>
    </w:tbl>
    <w:p>
      <w:pPr>
        <w:pStyle w:val="Style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п.</w:t>
      </w:r>
      <w:r>
        <w:rPr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b/>
          <w:bCs/>
          <w:color w:val="000000"/>
          <w:sz w:val="28"/>
          <w:szCs w:val="28"/>
          <w:lang w:eastAsia="ru-RU" w:bidi="ru-RU"/>
        </w:rPr>
        <w:t>. Об организации и проведении диагностических работ</w:t>
      </w:r>
    </w:p>
    <w:p>
      <w:pPr>
        <w:pStyle w:val="Style23"/>
        <w:shd w:val="clear" w:color="auto" w:fill="auto"/>
        <w:spacing w:before="0" w:after="5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по химии, математике (базовый и профильный уровни),</w:t>
        <w:br/>
        <w:t>русскому языку, физике, биологии на территории</w:t>
        <w:br/>
        <w:t>Дальнереченского городского округа в 2024  году</w:t>
      </w:r>
    </w:p>
    <w:p>
      <w:pPr>
        <w:pStyle w:val="Style23"/>
        <w:shd w:val="clear" w:color="auto" w:fill="auto"/>
        <w:spacing w:lineRule="auto" w:line="360" w:before="0" w:after="480"/>
        <w:ind w:firstLine="11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Федеральным законом от 29.12.2012 г. № 273-ФЗ «Об образовании в Российской Федерации, приказом министерства образования Приморского края от 02.04.2024 № 23а-430 «Об организации и проведении диагностических работ по химии, математике (базовый и профильный уровни), русскому языку, физике, биологии на территории Приморского края в 2024 году»,  в целях подготовки к проведению государственной итоговой аттестации по образовательным программам среднего общего образования на территории Дальнереченского городского округа в 2023/24 учебном году</w:t>
      </w:r>
    </w:p>
    <w:p>
      <w:pPr>
        <w:pStyle w:val="Style23"/>
        <w:widowControl w:val="false"/>
        <w:shd w:val="clear" w:color="auto" w:fill="auto"/>
        <w:spacing w:lineRule="auto" w:line="360" w:before="0" w:after="48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Style23"/>
        <w:numPr>
          <w:ilvl w:val="0"/>
          <w:numId w:val="1"/>
        </w:numPr>
        <w:shd w:val="clear" w:color="auto" w:fill="auto"/>
        <w:tabs>
          <w:tab w:val="clear" w:pos="708"/>
          <w:tab w:val="left" w:pos="1128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Провести диагностические работы по химии, математике (базовый и профильный уровни), русскому языку, физике, биологии (далее - ДР) на территории Дальнереченского городского округа в 2023/24 учебном году в МБОУ «Лицей», МБОУ «СОШ№2», МБОУ «СОШ№3», МБОУ «СОШ№5», МБОУ «СОШ№6», согласно следующему графику: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Математика (базовый уровень) - 09 апреля 2024;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color w:val="000000"/>
          <w:sz w:val="28"/>
          <w:szCs w:val="28"/>
          <w:highlight w:val="none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Химия - 10 апреля 2024;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Математика (профильный уровень) - 11 апреля  2024;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Физика - 12 апреля  2024;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Биология - 16 апреля 2024;</w:t>
      </w:r>
    </w:p>
    <w:p>
      <w:pPr>
        <w:pStyle w:val="Style23"/>
        <w:shd w:val="clear" w:color="auto" w:fill="auto"/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Русский язык - 17 апреля 2024.</w:t>
      </w:r>
    </w:p>
    <w:p>
      <w:pPr>
        <w:pStyle w:val="Style23"/>
        <w:numPr>
          <w:ilvl w:val="0"/>
          <w:numId w:val="1"/>
        </w:numPr>
        <w:shd w:val="clear" w:color="auto" w:fill="auto"/>
        <w:tabs>
          <w:tab w:val="clear" w:pos="708"/>
          <w:tab w:val="left" w:pos="1128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Привлечь в каждом общеобразовательном учреждении к участию в диагностических работах обучающихся, планирующих сдавать ГИА-11 в 2024 году по перечисленным выше предметам.</w:t>
      </w:r>
    </w:p>
    <w:p>
      <w:pPr>
        <w:pStyle w:val="Style23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Руководителям МБОУ «Лицей» (Олейниковой В.Е.), МБОУ «СОШ№2» (Акимовой Н.А.), МБОУ «СОШ№3» (Щеглюку Н.В.), МБОУ «СОШ№5» (Летовальцевой С. Ю.), МБОУ «СОШ№6» (Савиной И.А.):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Организовать ДР согласно федеральному графику внесения сведений и обработки материалов (приложение 1) и руководству пользователя с ролью «Администратор образовательной организации» (приложение 2).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Назначить работников для участия в ДР: Администратора образовательной организации, не менее 2-х организаторов (в каждой аудитории) в аудиториях проведения ДР (из числа работников, которые не преподают в 11-х классах).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/>
      </w:pPr>
      <w:r>
        <w:rPr>
          <w:color w:val="000000"/>
          <w:sz w:val="28"/>
          <w:szCs w:val="28"/>
          <w:lang w:eastAsia="ru-RU" w:bidi="ru-RU"/>
        </w:rPr>
        <w:t>Обеспечить стабильные каналы связи с доступом к сети «Интернет» для работы личных кабинетов Администраторов образовательной организации с доступом к порталу</w:t>
      </w:r>
      <w:hyperlink r:id="rId2" w:tgtFrame="http://oko.ixora.ru/login">
        <w:r>
          <w:rPr>
            <w:color w:val="000000"/>
            <w:sz w:val="28"/>
            <w:szCs w:val="28"/>
            <w:lang w:eastAsia="ru-RU" w:bidi="ru-RU"/>
          </w:rPr>
          <w:t xml:space="preserve"> </w:t>
        </w:r>
        <w:r>
          <w:rPr>
            <w:color w:val="0000FF"/>
            <w:sz w:val="28"/>
            <w:szCs w:val="28"/>
            <w:u w:val="single"/>
            <w:lang w:val="en-US" w:bidi="en-US"/>
          </w:rPr>
          <w:t>http</w:t>
        </w:r>
        <w:r>
          <w:rPr>
            <w:color w:val="0000FF"/>
            <w:sz w:val="28"/>
            <w:szCs w:val="28"/>
            <w:u w:val="single"/>
            <w:lang w:bidi="en-US"/>
          </w:rPr>
          <w:t>://</w:t>
        </w:r>
        <w:r>
          <w:rPr>
            <w:color w:val="0000FF"/>
            <w:sz w:val="28"/>
            <w:szCs w:val="28"/>
            <w:u w:val="single"/>
            <w:lang w:val="en-US" w:bidi="en-US"/>
          </w:rPr>
          <w:t>oko</w:t>
        </w:r>
        <w:r>
          <w:rPr>
            <w:color w:val="0000FF"/>
            <w:sz w:val="28"/>
            <w:szCs w:val="28"/>
            <w:u w:val="single"/>
            <w:lang w:bidi="en-US"/>
          </w:rPr>
          <w:t>.</w:t>
        </w:r>
        <w:r>
          <w:rPr>
            <w:color w:val="0000FF"/>
            <w:sz w:val="28"/>
            <w:szCs w:val="28"/>
            <w:u w:val="single"/>
            <w:lang w:val="en-US" w:bidi="en-US"/>
          </w:rPr>
          <w:t>ixora</w:t>
        </w:r>
        <w:r>
          <w:rPr>
            <w:color w:val="0000FF"/>
            <w:sz w:val="28"/>
            <w:szCs w:val="28"/>
            <w:u w:val="single"/>
            <w:lang w:bidi="en-US"/>
          </w:rPr>
          <w:t>.</w:t>
        </w:r>
        <w:r>
          <w:rPr>
            <w:color w:val="0000FF"/>
            <w:sz w:val="28"/>
            <w:szCs w:val="28"/>
            <w:u w:val="single"/>
            <w:lang w:val="en-US" w:bidi="en-US"/>
          </w:rPr>
          <w:t>ru</w:t>
        </w:r>
        <w:r>
          <w:rPr>
            <w:color w:val="0000FF"/>
            <w:sz w:val="28"/>
            <w:szCs w:val="28"/>
            <w:u w:val="single"/>
            <w:lang w:bidi="en-US"/>
          </w:rPr>
          <w:t>/</w:t>
        </w:r>
        <w:r>
          <w:rPr>
            <w:color w:val="0000FF"/>
            <w:sz w:val="28"/>
            <w:szCs w:val="28"/>
            <w:u w:val="single"/>
            <w:lang w:val="en-US" w:bidi="en-US"/>
          </w:rPr>
          <w:t>login</w:t>
        </w:r>
        <w:r>
          <w:rPr>
            <w:color w:val="000000"/>
            <w:sz w:val="28"/>
            <w:szCs w:val="28"/>
            <w:lang w:bidi="en-US"/>
          </w:rPr>
          <w:t>.</w:t>
        </w:r>
      </w:hyperlink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310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Обеспечить объективность проведения ДР.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Обеспечить тиражирование комплектов участников ДР не позднее 18:00 дня, предшествующему проведению ДР по соответствующему предмету.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Обеспечить своевременное сканирование  и верификацию материалов ДР (в день проведения).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Взять под контроль изучение руководства пользователя с ролью «Администратор образовательной организации» лицами, ответственными за проведение ДР В ОО.</w:t>
      </w:r>
    </w:p>
    <w:p>
      <w:pPr>
        <w:pStyle w:val="Style23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проверку работоспособности технических и программных средств, используемых при проведении ДР.</w:t>
      </w:r>
    </w:p>
    <w:p>
      <w:pPr>
        <w:pStyle w:val="Style23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МКУ «Управление образования» (Кондратьева В.В.) организовать совместную работу с руководителями МБОУ «Лицей», МБОУ «СОШ№2», МБОУ «СОШ№3», МБОУ «СОШ№5», МБОУ «СОШ№6» по организации проведения ДР.</w:t>
      </w:r>
    </w:p>
    <w:p>
      <w:pPr>
        <w:pStyle w:val="Style23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eastAsia="ru-RU" w:bidi="ru-RU"/>
        </w:rPr>
        <w:t>Контроль за исполнением настоящего приказа возложить на заместителя начальника МКУ «Управление образования» Кондратьеву В.В</w:t>
      </w:r>
      <w:r>
        <w:rPr>
          <w:color w:val="000000"/>
          <w:sz w:val="26"/>
          <w:szCs w:val="26"/>
          <w:lang w:eastAsia="ru-RU" w:bidi="ru-RU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57" w:after="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57" w:after="57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«Управление образования»                                                      Н.Н. Шитько</w:t>
      </w:r>
    </w:p>
    <w:p>
      <w:pPr>
        <w:pStyle w:val="Normal"/>
        <w:spacing w:lineRule="auto" w:line="360"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Hyperlink"/>
    <w:rPr>
      <w:color w:val="0000FF"/>
      <w:u w:val="single"/>
    </w:rPr>
  </w:style>
  <w:style w:type="character" w:styleId="Style8" w:customStyle="1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9"/>
    <w:pPr/>
    <w:rPr/>
  </w:style>
  <w:style w:type="paragraph" w:styleId="Style22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Другое"/>
    <w:basedOn w:val="Normal"/>
    <w:qFormat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37FC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5B9BD5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1" w:themeFillTint="75"/>
      </w:tcPr>
    </w:tblStylePr>
    <w:tblStylePr w:type="band1Vert">
      <w:tblPr/>
      <w:tcPr>
        <w:shd w:val="clear" w:color="FFFFFF" w:fill="AABFE3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5" w:themeFillTint="75"/>
      </w:tcPr>
    </w:tblStylePr>
    <w:tblStylePr w:type="band1Vert">
      <w:tblPr/>
      <w:tcPr>
        <w:shd w:val="clear" w:color="FFFFFF" w:fill="B4D2EB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9E2F2" w:themeFill="accent1" w:themeFillTint="34"/>
      </w:tcPr>
    </w:tblStylePr>
    <w:tblStylePr w:type="band1Vert">
      <w:tblPr/>
      <w:tcPr>
        <w:shd w:val="clear" w:color="FFFFFF" w:fill="D9E2F2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664A9" w:themeColor="accent1" w:themeTint="80" w:themeShade="95"/>
      </w:rPr>
      <w:tblPr/>
    </w:tblStylePr>
    <w:tblStylePr w:type="firstRow">
      <w:rPr>
        <w:b/>
        <w:color w:val="3664A9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664A9" w:themeColor="accent1" w:themeTint="80" w:themeShade="95"/>
      </w:rPr>
      <w:tblPr/>
    </w:tblStylePr>
    <w:tblStylePr w:type="lastRow">
      <w:rPr>
        <w:b/>
        <w:color w:val="3664A9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DEBF6" w:themeFill="accent5" w:themeFillTint="34"/>
      </w:tcPr>
    </w:tblStylePr>
    <w:tblStylePr w:type="band1Vert">
      <w:tblPr/>
      <w:tcPr>
        <w:shd w:val="clear" w:color="FFFFFF" w:fill="DDEBF6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45D8D" w:themeColor="accent5" w:themeShade="95"/>
      </w:rPr>
      <w:tblPr/>
    </w:tblStylePr>
    <w:tblStylePr w:type="firstRow">
      <w:rPr>
        <w:b/>
        <w:color w:val="245D8D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tblPr/>
    </w:tblStylePr>
    <w:tblStylePr w:type="lastRow">
      <w:rPr>
        <w:b/>
        <w:color w:val="245D8D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664A9" w:themeColor="accent1" w:themeTint="80" w:themeShade="95"/>
        <w:sz w:val="22"/>
      </w:rPr>
      <w:tblPr/>
      <w:tcPr>
        <w:shd w:val="clear" w:color="FFFFFF" w:fill="D9E2F2" w:themeFill="accent1" w:themeFillTint="34"/>
      </w:tcPr>
    </w:tblStylePr>
    <w:tblStylePr w:type="band1Vert">
      <w:tblPr/>
      <w:tcPr>
        <w:shd w:val="clear" w:color="FFFFFF" w:fill="D9E2F2" w:themeFill="accent1" w:themeFillTint="34"/>
      </w:tcPr>
    </w:tblStylePr>
    <w:tblStylePr w:type="band2Horz">
      <w:rPr>
        <w:color w:val="3664A9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664A9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664A9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664A9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664A9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45D8D" w:themeColor="accent5" w:themeShade="95"/>
        <w:sz w:val="22"/>
      </w:rPr>
      <w:tblPr/>
      <w:tcPr>
        <w:shd w:val="clear" w:color="FFFFFF" w:fill="DDEBF6" w:themeFill="accent5" w:themeFillTint="34"/>
      </w:tcPr>
    </w:tblStylePr>
    <w:tblStylePr w:type="band1Vert">
      <w:tblPr/>
      <w:tcPr>
        <w:shd w:val="clear" w:color="FFFFFF" w:fill="DDEBF6" w:themeFill="accent5" w:themeFillTint="34"/>
      </w:tcPr>
    </w:tblStylePr>
    <w:tblStylePr w:type="band2Horz">
      <w:rPr>
        <w:color w:val="245D8D" w:themeColor="accent5" w:themeShade="95"/>
        <w:sz w:val="22"/>
      </w:rPr>
      <w:tblPr/>
    </w:tblStylePr>
    <w:tblStylePr w:type="firstCol">
      <w:pPr>
        <w:jc w:val="right"/>
      </w:pPr>
      <w:rPr>
        <w:i/>
        <w:color w:val="245D8D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45D8D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45D8D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45D8D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CC4E5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472C4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472C4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472C4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472C4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CC4E5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CC4E5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CC4E5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CC4E5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54374" w:themeColor="accent1" w:themeShade="95"/>
      </w:rPr>
      <w:tblPr/>
    </w:tblStylePr>
    <w:tblStylePr w:type="firstRow">
      <w:rPr>
        <w:b/>
        <w:color w:val="254374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tblPr/>
    </w:tblStylePr>
    <w:tblStylePr w:type="lastRow">
      <w:rPr>
        <w:b/>
        <w:color w:val="254374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2E78B1" w:themeColor="accent5" w:themeTint="9a" w:themeShade="95"/>
      </w:rPr>
      <w:tblPr/>
    </w:tblStylePr>
    <w:tblStylePr w:type="firstRow">
      <w:rPr>
        <w:b/>
        <w:color w:val="2E78B1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2E78B1" w:themeColor="accent5" w:themeTint="9a" w:themeShade="95"/>
      </w:rPr>
      <w:tblPr/>
    </w:tblStylePr>
    <w:tblStylePr w:type="lastRow">
      <w:rPr>
        <w:b/>
        <w:color w:val="2E78B1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54374" w:themeColor="accent1" w:themeShade="95"/>
        <w:sz w:val="22"/>
      </w:rPr>
      <w:tblPr/>
      <w:tcPr>
        <w:shd w:val="clear" w:color="FFFFFF" w:fill="CFDCF0" w:themeFill="accent1" w:themeFillTint="40"/>
      </w:tcPr>
    </w:tblStylePr>
    <w:tblStylePr w:type="band1Vert">
      <w:tblPr/>
      <w:tcPr>
        <w:shd w:val="clear" w:color="FFFFFF" w:fill="CFDCF0" w:themeFill="accent1" w:themeFillTint="40"/>
      </w:tcPr>
    </w:tblStylePr>
    <w:tblStylePr w:type="band2Horz">
      <w:rPr>
        <w:color w:val="254374" w:themeColor="accent1" w:themeShade="95"/>
        <w:sz w:val="22"/>
      </w:rPr>
      <w:tblPr/>
    </w:tblStylePr>
    <w:tblStylePr w:type="firstCol">
      <w:pPr>
        <w:jc w:val="right"/>
      </w:pPr>
      <w:rPr>
        <w:i/>
        <w:color w:val="254374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54374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54374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54374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54374"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2E78B1" w:themeColor="accent5" w:themeTint="9a" w:themeShade="95"/>
        <w:sz w:val="22"/>
      </w:rPr>
      <w:tblPr/>
      <w:tcPr>
        <w:shd w:val="clear" w:color="FFFFFF" w:fill="D5E6F4" w:themeFill="accent5" w:themeFillTint="40"/>
      </w:tcPr>
    </w:tblStylePr>
    <w:tblStylePr w:type="band1Vert">
      <w:tblPr/>
      <w:tcPr>
        <w:shd w:val="clear" w:color="FFFFFF" w:fill="D5E6F4" w:themeFill="accent5" w:themeFillTint="40"/>
      </w:tcPr>
    </w:tblStylePr>
    <w:tblStylePr w:type="band2Horz">
      <w:rPr>
        <w:color w:val="2E78B1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2E78B1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2E78B1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E78B1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2E78B1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E78B1"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FC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3D3EC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F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FC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DEBF6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8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ko.ixora.ru/log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3</Pages>
  <Words>425</Words>
  <Characters>2881</Characters>
  <CharactersWithSpaces>3349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2023-10-10T02:10:00Z</dcterms:created>
  <dc:creator>Пользователь</dc:creator>
  <dc:description/>
  <dc:language>ru-RU</dc:language>
  <cp:lastModifiedBy/>
  <dcterms:modified xsi:type="dcterms:W3CDTF">2024-04-02T16:48:05Z</dcterms:modified>
  <cp:revision>7</cp:revision>
  <dc:subject/>
  <dc:title/>
</cp:coreProperties>
</file>