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44.00pt;height:45.00pt;mso-wrap-distance-left:0.00pt;mso-wrap-distance-top:0.00pt;mso-wrap-distance-right:0.00pt;mso-wrap-distance-bottom:0.00pt;" filled="f" stroked="f">
                  <v:path textboxrect="0,0,0,0"/>
                  <v:imagedata r:id="rId9" o:title=""/>
                </v:shape>
                <o:OLEObject DrawAspect="Content" r:id="rId10" ObjectID="_1525040" ProgID="MSPhotoEd.3" ShapeID="_x0000_i0" Type="Embed"/>
              </w:objec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МУНИЦИПАЛЬНОЕ КАЗЕННОЕ УЧРЕЖДЕНИЕ</w: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«УПРАВЛЕНИЕ ОБРАЗОВАНИЯ»</w: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ДАЛЬНЕРЕЧЕНСКОГО</w: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ГОРОДСКОГО ОКРУГА</w: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r>
              <w:rPr>
                <w:sz w:val="20"/>
                <w:szCs w:val="26"/>
              </w:rPr>
              <w:t xml:space="preserve">13, г</w:t>
            </w:r>
            <w:r>
              <w:rPr>
                <w:sz w:val="20"/>
                <w:szCs w:val="26"/>
              </w:rPr>
              <w:t xml:space="preserve">. Дальнереченск, 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Приморский край,  692135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Телефон/факс:  25-</w:t>
            </w:r>
            <w:r>
              <w:rPr>
                <w:sz w:val="20"/>
                <w:szCs w:val="26"/>
              </w:rPr>
              <w:t xml:space="preserve">1</w:t>
            </w:r>
            <w:r>
              <w:rPr>
                <w:sz w:val="20"/>
                <w:szCs w:val="26"/>
              </w:rPr>
              <w:t xml:space="preserve">-</w:t>
            </w:r>
            <w:r>
              <w:rPr>
                <w:sz w:val="20"/>
                <w:szCs w:val="26"/>
              </w:rPr>
              <w:t xml:space="preserve">1</w:t>
            </w:r>
            <w:r>
              <w:rPr>
                <w:sz w:val="20"/>
                <w:szCs w:val="26"/>
              </w:rPr>
              <w:t xml:space="preserve">5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 xml:space="preserve">E</w:t>
            </w:r>
            <w:r>
              <w:rPr>
                <w:sz w:val="20"/>
                <w:szCs w:val="26"/>
              </w:rPr>
              <w:t xml:space="preserve">-</w:t>
            </w:r>
            <w:r>
              <w:rPr>
                <w:sz w:val="20"/>
                <w:szCs w:val="26"/>
                <w:lang w:val="en-US"/>
              </w:rPr>
              <w:t xml:space="preserve">mail</w:t>
            </w:r>
            <w:r>
              <w:rPr>
                <w:sz w:val="20"/>
                <w:szCs w:val="26"/>
              </w:rPr>
              <w:t xml:space="preserve">: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uodgo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@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mail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ru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ОКПО</w:t>
            </w:r>
            <w:r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 xml:space="preserve">ОГРН</w:t>
            </w:r>
            <w:r>
              <w:rPr>
                <w:sz w:val="20"/>
                <w:szCs w:val="26"/>
              </w:rPr>
              <w:t xml:space="preserve"> 1102506000123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ИНН\КПП 2506011650/250601001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06.02.2024</w:t>
            </w:r>
            <w:r>
              <w:rPr>
                <w:sz w:val="20"/>
                <w:szCs w:val="26"/>
              </w:rPr>
              <w:t xml:space="preserve"> г  № 93</w:t>
            </w:r>
            <w:r>
              <w:rPr>
                <w:sz w:val="20"/>
                <w:szCs w:val="26"/>
              </w:rPr>
              <w:t xml:space="preserve">-1</w: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  <w:p>
            <w:pPr>
              <w:ind w:right="76"/>
              <w:jc w:val="center"/>
              <w:tabs>
                <w:tab w:val="left" w:pos="8820" w:leader="none"/>
              </w:tabs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8" w:type="dxa"/>
            <w:textDirection w:val="lrTb"/>
            <w:noWrap w:val="false"/>
          </w:tcPr>
          <w:p>
            <w:pPr>
              <w:ind w:left="975" w:right="-31"/>
              <w:spacing w:line="283" w:lineRule="exact"/>
            </w:pPr>
            <w:r/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t xml:space="preserve">Руководителям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«Лицей»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«СОШ№2»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«СОШ№3»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«СОШ№5»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«СОШ№6»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8" w:type="dxa"/>
            <w:textDirection w:val="lrTb"/>
            <w:noWrap w:val="false"/>
          </w:tcPr>
          <w:p>
            <w:pPr>
              <w:ind w:left="975" w:right="-31"/>
              <w:spacing w:line="283" w:lineRule="exact"/>
            </w:pPr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</w:r>
            <w:r>
              <w:rPr>
                <w:b/>
                <w:color w:val="ff0000"/>
                <w:sz w:val="26"/>
                <w:szCs w:val="26"/>
              </w:rPr>
            </w:r>
            <w:r>
              <w:rPr>
                <w:b/>
                <w:color w:val="ff0000"/>
                <w:sz w:val="26"/>
                <w:szCs w:val="26"/>
              </w:rPr>
            </w:r>
          </w:p>
        </w:tc>
      </w:tr>
    </w:tbl>
    <w:p>
      <w:pPr>
        <w:pStyle w:val="847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3"/>
        <w:jc w:val="both"/>
        <w:widowControl/>
        <w:rPr>
          <w:rFonts w:ascii="Times New Roman" w:hAnsi="Times New Roman" w:eastAsia="MS Mincho"/>
          <w:sz w:val="26"/>
          <w:szCs w:val="26"/>
        </w:rPr>
      </w:pPr>
      <w:r>
        <w:rPr>
          <w:rFonts w:ascii="Times New Roman" w:hAnsi="Times New Roman" w:eastAsia="MS Mincho"/>
          <w:bCs/>
          <w:sz w:val="26"/>
          <w:szCs w:val="26"/>
        </w:rPr>
        <w:t xml:space="preserve">О предоставлении информации</w:t>
      </w:r>
      <w:r>
        <w:rPr>
          <w:rFonts w:ascii="Times New Roman" w:hAnsi="Times New Roman" w:eastAsia="MS Mincho"/>
          <w:sz w:val="26"/>
          <w:szCs w:val="26"/>
        </w:rPr>
      </w:r>
      <w:r>
        <w:rPr>
          <w:rFonts w:ascii="Times New Roman" w:hAnsi="Times New Roman" w:eastAsia="MS Mincho"/>
          <w:sz w:val="26"/>
          <w:szCs w:val="26"/>
        </w:rPr>
      </w:r>
    </w:p>
    <w:p>
      <w:pPr>
        <w:pStyle w:val="843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3"/>
        <w:jc w:val="center"/>
        <w:spacing w:line="276" w:lineRule="auto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Уважаемые коллеги!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3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fffff"/>
          <w:lang w:val="ru-RU" w:eastAsia="ru-RU" w:bidi="ar-SA"/>
        </w:rPr>
        <w:tab/>
        <w:t xml:space="preserve">С целью организации общественного наблюдения за соблюдением порядка проведения государственной итоговой аттест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fffff"/>
          <w:lang w:val="ru-RU" w:eastAsia="ru-RU" w:bidi="ar-SA"/>
        </w:rPr>
        <w:t xml:space="preserve">ации в 2024 году (досрочный начнется 22 марта и продлится до 22 апреля, основной период пройдет с 23 мая по 1 июля, дополнительный период – с 4 по 23 сентября) (далее - ГИА)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shd w:val="clear" w:color="auto" w:fill="ffffff"/>
          <w:lang w:val="ru-RU" w:eastAsia="ru-RU" w:bidi="ar-SA"/>
        </w:rPr>
        <w:t xml:space="preserve">  начинаем работу по формированию списка общественных наблюдателей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shd w:val="clear" w:color="auto" w:fill="ffffff"/>
          <w:lang w:val="ru-RU" w:eastAsia="ru-RU" w:bidi="ar-SA"/>
        </w:rPr>
        <w:t xml:space="preserve">на территории Дальнереченского округа.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lang w:val="ru-RU" w:eastAsia="ru-RU" w:bidi="ar-SA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sz w:val="26"/>
          <w:szCs w:val="26"/>
          <w:u w:val="none"/>
          <w:shd w:val="clear" w:color="auto" w:fill="ffffff"/>
          <w:lang w:val="ru-RU" w:eastAsia="ru-RU" w:bidi="ar-SA"/>
        </w:rPr>
        <w:t xml:space="preserve">          </w:t>
      </w:r>
      <w:r>
        <w:rPr>
          <w:sz w:val="26"/>
          <w:szCs w:val="26"/>
        </w:rPr>
        <w:t xml:space="preserve">Напоминаем, что общественное наблюдение осуществляется на всех этапах проведения ГИА (ОГЭ/ГВЭ, ЕГЭ/ГВЭ) путем личного присутствия общественных наблюдателей в пунктах проведения экзамена (далее - ППЭ). Министерством прием заявлений (приложение 2) и процедур</w:t>
      </w:r>
      <w:r>
        <w:rPr>
          <w:sz w:val="26"/>
          <w:szCs w:val="26"/>
        </w:rPr>
        <w:t xml:space="preserve">а аккредитации граждан в качестве общественных наблюдателей начнется с 1 февраля текущего года и завершится за три дня до даты проведения экзамена по соответствующему учебному предмету </w:t>
      </w:r>
      <w:r>
        <w:rPr>
          <w:sz w:val="26"/>
          <w:szCs w:val="26"/>
        </w:rPr>
        <w:t xml:space="preserve">(ориентировочно 20 мая). Стать общественным наблюдателем может каждый с</w:t>
      </w:r>
      <w:r>
        <w:rPr>
          <w:sz w:val="26"/>
          <w:szCs w:val="26"/>
        </w:rPr>
        <w:t xml:space="preserve">овершеннолетний гражданин. Достаточно подать заявление, пройти непродолжительное обучение (дистанционно), сдать</w:t>
      </w:r>
      <w:r>
        <w:rPr>
          <w:sz w:val="26"/>
          <w:szCs w:val="26"/>
        </w:rPr>
        <w:t xml:space="preserve"> итоговый тест и получить соответствующую аккредитацию, подтвержденную удостоверением.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          </w:t>
      </w:r>
      <w:r>
        <w:rPr>
          <w:sz w:val="26"/>
          <w:szCs w:val="26"/>
        </w:rPr>
        <w:t xml:space="preserve">Информация по аккредитации граждан, желающих стать общественными наблюдателями, с 1 февраля 2024 года будет размещена на о</w:t>
      </w:r>
      <w:r>
        <w:rPr>
          <w:sz w:val="26"/>
          <w:szCs w:val="26"/>
        </w:rPr>
        <w:t xml:space="preserve">фициальном сайте Правительства Приморского края https://www.primorsky.ru/ на странице Министерства в подразделе «Контроль надзор», «Об</w:t>
      </w:r>
      <w:r>
        <w:rPr>
          <w:sz w:val="26"/>
          <w:szCs w:val="26"/>
        </w:rPr>
        <w:t xml:space="preserve">щественное наблюдение».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Заявление граждане смогут подать, обратившись к координаторам ОН, также пройти обучение и сдать итоговый тест.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МКУ «Управление образования» рекомендует: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разместить информацию о формировании с 1 февраля 2024 года корпуса общественных наб</w:t>
      </w:r>
      <w:r>
        <w:rPr>
          <w:sz w:val="26"/>
          <w:szCs w:val="26"/>
        </w:rPr>
        <w:t xml:space="preserve">людателей на сайтах образовательных организаций, в территориальных СМИ;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привлечь в качестве общественных наблюдателей граж</w:t>
      </w:r>
      <w:r>
        <w:rPr>
          <w:sz w:val="26"/>
          <w:szCs w:val="26"/>
        </w:rPr>
        <w:t xml:space="preserve">дан из числа родительской общественности, студентов, сотрудников МОУО (исключая риск конфликта интересов);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обучение общественных наблюдателей и сбор пакета документом для аккредитации в Министерстве;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в ППЭ охват общественным наб</w:t>
      </w:r>
      <w:r>
        <w:rPr>
          <w:sz w:val="26"/>
          <w:szCs w:val="26"/>
        </w:rPr>
        <w:t xml:space="preserve">людением в период ГИА в 2024 году не менее 100%.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</w:rPr>
      </w:pPr>
      <w:r>
        <w:rPr>
          <w:sz w:val="26"/>
          <w:szCs w:val="26"/>
        </w:rPr>
      </w:r>
      <w:r>
        <w:t xml:space="preserve">              </w:t>
      </w:r>
      <w:r>
        <w:rPr>
          <w:sz w:val="26"/>
          <w:szCs w:val="26"/>
        </w:rPr>
        <w:t xml:space="preserve"> Дополнительно  напоминаем о необходимости принять  меры к снижению рисков нарушений порядка проведения итогового собеседования по русскому языку: основной срок 14.02.2024; дополнительные сроки — 13.03.2024 и 15.04.2024; написания итогового изл</w:t>
      </w:r>
      <w:r>
        <w:rPr>
          <w:sz w:val="26"/>
          <w:szCs w:val="26"/>
        </w:rPr>
        <w:t xml:space="preserve">ожения (сочинения) в резервные дни - 07.02.2024 и 10.04.2024, в т.ч. обеспечить: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</w:rPr>
      </w:pPr>
      <w:r>
        <w:rPr>
          <w:sz w:val="26"/>
          <w:szCs w:val="26"/>
        </w:rPr>
        <w:t xml:space="preserve"> - присутствие общественных наблюдателей во время проведения оценочных процедур в основной срок, дополнительные, резервные сроки из расчета не менее 1 наблюдателя на 2 аудитори</w:t>
      </w:r>
      <w:r>
        <w:rPr>
          <w:sz w:val="26"/>
          <w:szCs w:val="26"/>
        </w:rPr>
        <w:t xml:space="preserve">и (общественные наблюдатели могут свободно перемещаются по месту проведения итогового сочинения (изложения), в учебном кабинете может находиться один общественный наблюдатель);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проведение для задействованных общественных наблюдателей соответствующего инс</w:t>
      </w:r>
      <w:r>
        <w:rPr>
          <w:sz w:val="26"/>
          <w:szCs w:val="26"/>
        </w:rPr>
        <w:t xml:space="preserve">труктажа;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</w:rPr>
      </w:pPr>
      <w:r>
        <w:rPr>
          <w:sz w:val="26"/>
          <w:szCs w:val="26"/>
        </w:rPr>
        <w:t xml:space="preserve">- заполнение общественными наблюдателями протокола общественного наблюдения за объективностью проведения итогового сочинения (изложения) в 2023/24 учебном году;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</w:rPr>
      </w:pPr>
      <w:r>
        <w:rPr>
          <w:sz w:val="26"/>
          <w:szCs w:val="26"/>
        </w:rPr>
        <w:t xml:space="preserve">- последующее хранение муниципальными координаторами заполненных про</w:t>
      </w:r>
      <w:r>
        <w:rPr>
          <w:sz w:val="26"/>
          <w:szCs w:val="26"/>
        </w:rPr>
        <w:t xml:space="preserve">токолов до момента передачи их для обработки по соответствующему запросу Министерства. Обращаем внимание!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93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Общественных наблюдателей для основного, дополнительных сроков итогового собеседования по русскому языку, резервных сроков итогового сочинения (собесе</w:t>
      </w:r>
      <w:r>
        <w:rPr>
          <w:sz w:val="26"/>
          <w:szCs w:val="26"/>
        </w:rPr>
        <w:t xml:space="preserve">дования) привлекает, обучает и утверждает нормативным локальным актом непосредственно образовательная организация, МКУ «Управление образования».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pacing w:line="293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8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Исходя из вышесказанного, школьным  координаторам общественного наблюдения </w:t>
      </w:r>
      <w:r>
        <w:rPr>
          <w:b/>
          <w:bCs/>
          <w:sz w:val="26"/>
          <w:szCs w:val="26"/>
        </w:rPr>
        <w:t xml:space="preserve">не позднее 22.02</w:t>
      </w:r>
      <w:r>
        <w:rPr>
          <w:b/>
          <w:bCs/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необходимо предоставить в МКУ «Управление образования»: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Оригиналы на бумажных носителях: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1) заявления на аккредитацию граждан, желающих осуществлять общественное наблюдение (приложение 2);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2) согласия на обработку персональных данных граждан, желающих осуществлять общественное наблюдение (приложение 3);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3) ведомости прохождения обучения участника общественного наблюдения при проведении ОГЭ, ЕГЭ, ГВЭ в 2024 году: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«Ведомость прохождения обучения участника общественного наблюдения при проведении ОГЭ/ГВЭ», подпись в конце ставит Абдуллаева Л.Г.(приложение 4);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«Ведомость прохождения обучения участника общественного наблюдения при проведении ЕГЭ/ГВЭ», подпись в конце ставит Кондратьева В.В. (приложение 4);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4) заполненные итоговые тесты граждан, желающих осуществлять общественное наблюдение (приложение 5, для ОГЭ и ЕГЭ индивидуально</w:t>
      </w:r>
      <w:r>
        <w:rPr>
          <w:b/>
          <w:bCs/>
          <w:sz w:val="26"/>
          <w:szCs w:val="26"/>
        </w:rPr>
        <w:t xml:space="preserve">; !!! в конце ставит подпись муниципальный координатор ЕГЭ – Кондратьева В.В., ОГЭ – Абдуллаева Л.Г.</w:t>
      </w:r>
      <w:r>
        <w:rPr>
          <w:b/>
          <w:bCs/>
          <w:sz w:val="26"/>
          <w:szCs w:val="26"/>
        </w:rPr>
        <w:t xml:space="preserve">);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5) Проекты удостоверений общественных наблюдателей (приложение 6) с проектами графиков посещения ППЭ общественным наблюдателем (в графиках должны быть п</w:t>
      </w:r>
      <w:r>
        <w:rPr>
          <w:b/>
          <w:bCs/>
          <w:sz w:val="26"/>
          <w:szCs w:val="26"/>
        </w:rPr>
        <w:t xml:space="preserve">рописаны все даты посещения общественным наблюдателем экзаменов ОГЭ, ЕГЭ, ГВЭ). Приложение 6 заполняется в электронном виде и распечатываются на отдельных листах (формы для заполнения прилагаются с образцами заполнения).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none"/>
        </w:rPr>
        <w:t xml:space="preserve">Приложение 8 заполняется в электронном виде.</w:t>
      </w:r>
      <w:r>
        <w:rPr>
          <w:b/>
          <w:bCs/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Количество общественных наблюдателей</w:t>
      </w:r>
      <w:r>
        <w:rPr>
          <w:sz w:val="26"/>
          <w:szCs w:val="26"/>
          <w:highlight w:val="none"/>
        </w:rPr>
      </w:r>
    </w:p>
    <w:p>
      <w:pPr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на ЕГЭ: МБОУ «Лицей» - 5 чел, МБОУ «СОШ№2» - 5 чел.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</w:rPr>
      </w:r>
    </w:p>
    <w:p>
      <w:pPr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на ОГЭ: </w:t>
      </w:r>
      <w:r>
        <w:rPr>
          <w:b/>
          <w:bCs/>
          <w:sz w:val="26"/>
          <w:szCs w:val="26"/>
          <w:highlight w:val="none"/>
        </w:rPr>
        <w:t xml:space="preserve">МБОУ «Лицей» -8 чел, МБОУ «СОШ№2» -8 чел.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  <w:t xml:space="preserve">, МБОУ «СОШ№3» - 4 чел., МБОУ «СОШ№6» - 5 чел.</w:t>
      </w:r>
      <w:r>
        <w:rPr>
          <w:b/>
          <w:bCs/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ачальник</w:t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казенного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«Управление образования»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Дальнереченского городского округа                                                    Н.Н.Шитько</w:t>
      </w:r>
      <w:r>
        <w:rPr>
          <w:sz w:val="26"/>
          <w:szCs w:val="26"/>
        </w:rPr>
      </w:r>
    </w:p>
    <w:p>
      <w:pPr>
        <w:ind w:left="-5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258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4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4"/>
    <w:link w:val="695"/>
    <w:uiPriority w:val="99"/>
  </w:style>
  <w:style w:type="paragraph" w:styleId="697">
    <w:name w:val="Footer"/>
    <w:basedOn w:val="843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4"/>
    <w:link w:val="697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ody Text"/>
    <w:basedOn w:val="843"/>
    <w:link w:val="848"/>
    <w:pPr>
      <w:jc w:val="both"/>
    </w:pPr>
  </w:style>
  <w:style w:type="character" w:styleId="848" w:customStyle="1">
    <w:name w:val="Основной текст Знак"/>
    <w:basedOn w:val="844"/>
    <w:link w:val="84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>
    <w:name w:val="Hyperlink"/>
    <w:rPr>
      <w:color w:val="0000ff"/>
      <w:u w:val="single"/>
    </w:rPr>
  </w:style>
  <w:style w:type="paragraph" w:styleId="850" w:customStyle="1">
    <w:name w:val="Знак1"/>
    <w:basedOn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1">
    <w:name w:val="List Paragraph"/>
    <w:basedOn w:val="843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table" w:styleId="852">
    <w:name w:val="Table Grid"/>
    <w:basedOn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14</cp:revision>
  <dcterms:created xsi:type="dcterms:W3CDTF">2022-10-03T00:07:00Z</dcterms:created>
  <dcterms:modified xsi:type="dcterms:W3CDTF">2024-02-06T05:19:57Z</dcterms:modified>
</cp:coreProperties>
</file>