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60"/>
          <w:szCs w:val="60"/>
        </w:rPr>
        <w:t xml:space="preserve">О повторном прохождении ГИА-11</w:t>
      </w:r>
      <w:r>
        <w:rPr>
          <w:b/>
          <w:sz w:val="60"/>
          <w:szCs w:val="60"/>
        </w:rPr>
      </w:r>
      <w:r/>
    </w:p>
    <w:p>
      <w:pPr>
        <w:jc w:val="center"/>
      </w:pPr>
      <w:r>
        <w:rPr>
          <w:b/>
          <w:sz w:val="60"/>
          <w:szCs w:val="60"/>
        </w:rPr>
        <w:t xml:space="preserve">(в </w:t>
      </w:r>
      <w:r>
        <w:rPr>
          <w:b/>
          <w:sz w:val="60"/>
          <w:szCs w:val="60"/>
          <w:lang w:val="ru-RU"/>
        </w:rPr>
        <w:t xml:space="preserve">резервные </w:t>
      </w:r>
      <w:r>
        <w:rPr>
          <w:b/>
          <w:sz w:val="60"/>
          <w:szCs w:val="60"/>
        </w:rPr>
        <w:t xml:space="preserve"> сроки</w:t>
      </w:r>
      <w:r>
        <w:rPr>
          <w:b/>
          <w:sz w:val="60"/>
          <w:szCs w:val="60"/>
          <w:lang w:val="ru-RU"/>
        </w:rPr>
        <w:t xml:space="preserve"> соответствующего периода проведения экзаменов</w:t>
      </w:r>
      <w:r>
        <w:rPr>
          <w:b/>
          <w:sz w:val="60"/>
          <w:szCs w:val="60"/>
        </w:rPr>
        <w:t xml:space="preserve">)</w:t>
      </w:r>
      <w:r>
        <w:rPr>
          <w:b/>
          <w:sz w:val="60"/>
          <w:szCs w:val="60"/>
        </w:rPr>
      </w:r>
      <w:r/>
    </w:p>
    <w:p>
      <w:pPr>
        <w:jc w:val="both"/>
      </w:pPr>
      <w:r>
        <w:rPr>
          <w:sz w:val="60"/>
          <w:szCs w:val="60"/>
        </w:rPr>
        <w:t xml:space="preserve">В </w:t>
      </w:r>
      <w:r>
        <w:rPr>
          <w:sz w:val="60"/>
          <w:szCs w:val="60"/>
          <w:lang w:val="ru-RU"/>
        </w:rPr>
        <w:t xml:space="preserve">резервные </w:t>
      </w:r>
      <w:r>
        <w:rPr>
          <w:sz w:val="60"/>
          <w:szCs w:val="60"/>
        </w:rPr>
        <w:t xml:space="preserve"> сроки допускаются повторно  к ГИА:</w:t>
      </w:r>
      <w:r>
        <w:rPr>
          <w:sz w:val="60"/>
          <w:szCs w:val="60"/>
        </w:rPr>
      </w:r>
      <w:r/>
    </w:p>
    <w:p>
      <w:pPr>
        <w:jc w:val="both"/>
      </w:pPr>
      <w:r>
        <w:rPr>
          <w:sz w:val="52"/>
          <w:szCs w:val="52"/>
        </w:rPr>
        <w:t xml:space="preserve">1</w:t>
      </w:r>
      <w:r>
        <w:rPr>
          <w:sz w:val="52"/>
          <w:szCs w:val="52"/>
        </w:rPr>
        <w:t xml:space="preserve">)</w:t>
      </w:r>
      <w:r>
        <w:rPr>
          <w:sz w:val="52"/>
          <w:szCs w:val="52"/>
        </w:rPr>
        <w:t xml:space="preserve"> </w:t>
      </w:r>
      <w:r>
        <w:rPr>
          <w:sz w:val="52"/>
          <w:szCs w:val="52"/>
          <w:lang w:val="ru-RU"/>
        </w:rPr>
        <w:t xml:space="preserve">участники ГИА,</w:t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получившие неудовлетворительный результат</w:t>
      </w:r>
      <w:r>
        <w:rPr>
          <w:sz w:val="52"/>
          <w:szCs w:val="52"/>
        </w:rPr>
        <w:t xml:space="preserve"> по одному из обязательных </w:t>
      </w:r>
      <w:r>
        <w:rPr>
          <w:sz w:val="52"/>
          <w:szCs w:val="52"/>
          <w:lang w:val="ru-RU"/>
        </w:rPr>
        <w:t xml:space="preserve">учебных </w:t>
      </w:r>
      <w:r>
        <w:rPr>
          <w:sz w:val="52"/>
          <w:szCs w:val="52"/>
        </w:rPr>
        <w:t xml:space="preserve">предметов</w:t>
      </w:r>
      <w:r>
        <w:rPr>
          <w:sz w:val="52"/>
          <w:szCs w:val="52"/>
          <w:lang w:val="ru-RU"/>
        </w:rPr>
        <w:t xml:space="preserve">;</w:t>
      </w:r>
      <w:r>
        <w:rPr>
          <w:sz w:val="52"/>
          <w:szCs w:val="52"/>
        </w:rPr>
      </w:r>
      <w:r/>
    </w:p>
    <w:p>
      <w:pPr>
        <w:jc w:val="both"/>
      </w:pPr>
      <w:r>
        <w:rPr>
          <w:sz w:val="52"/>
          <w:szCs w:val="52"/>
        </w:rPr>
        <w:t xml:space="preserve">2</w:t>
      </w:r>
      <w:r>
        <w:rPr>
          <w:sz w:val="52"/>
          <w:szCs w:val="52"/>
        </w:rPr>
        <w:t xml:space="preserve">)</w:t>
      </w:r>
      <w:r>
        <w:rPr>
          <w:sz w:val="52"/>
          <w:szCs w:val="52"/>
        </w:rPr>
        <w:t xml:space="preserve"> </w:t>
      </w:r>
      <w:r>
        <w:rPr>
          <w:sz w:val="52"/>
          <w:szCs w:val="52"/>
          <w:lang w:val="ru-RU"/>
        </w:rPr>
        <w:t xml:space="preserve">участники ГИА</w:t>
      </w:r>
      <w:r>
        <w:rPr>
          <w:sz w:val="52"/>
          <w:szCs w:val="52"/>
        </w:rPr>
        <w:t xml:space="preserve">, не явившиеся на экзамен по уважительным причинам (болезнь или иные обстоятельства</w:t>
      </w:r>
      <w:r>
        <w:rPr>
          <w:sz w:val="52"/>
          <w:szCs w:val="52"/>
          <w:lang w:val="ru-RU"/>
        </w:rPr>
        <w:t xml:space="preserve">)</w:t>
      </w:r>
      <w:r>
        <w:rPr>
          <w:sz w:val="52"/>
          <w:szCs w:val="52"/>
        </w:rPr>
        <w:t xml:space="preserve">, подтверждённые документально</w:t>
      </w:r>
      <w:r>
        <w:rPr>
          <w:sz w:val="52"/>
          <w:szCs w:val="52"/>
          <w:lang w:val="ru-RU"/>
        </w:rPr>
        <w:t xml:space="preserve">;</w:t>
      </w:r>
      <w:r>
        <w:rPr>
          <w:sz w:val="52"/>
          <w:szCs w:val="52"/>
        </w:rPr>
      </w:r>
      <w:r/>
    </w:p>
    <w:p>
      <w:pPr>
        <w:jc w:val="both"/>
      </w:pPr>
      <w:r>
        <w:rPr>
          <w:sz w:val="52"/>
          <w:szCs w:val="52"/>
        </w:rPr>
        <w:t xml:space="preserve">3</w:t>
      </w:r>
      <w:r>
        <w:rPr>
          <w:sz w:val="52"/>
          <w:szCs w:val="52"/>
        </w:rPr>
        <w:t xml:space="preserve">)</w:t>
      </w:r>
      <w:r>
        <w:rPr>
          <w:sz w:val="52"/>
          <w:szCs w:val="52"/>
        </w:rPr>
        <w:t xml:space="preserve"> </w:t>
      </w:r>
      <w:r>
        <w:rPr>
          <w:sz w:val="52"/>
          <w:szCs w:val="52"/>
          <w:lang w:val="ru-RU"/>
        </w:rPr>
        <w:t xml:space="preserve">участники ГИА</w:t>
      </w:r>
      <w:r>
        <w:rPr>
          <w:sz w:val="52"/>
          <w:szCs w:val="52"/>
        </w:rPr>
        <w:t xml:space="preserve">, не завершившие </w:t>
      </w:r>
      <w:r>
        <w:rPr>
          <w:sz w:val="52"/>
          <w:szCs w:val="52"/>
          <w:lang w:val="ru-RU"/>
        </w:rPr>
        <w:t xml:space="preserve">выполнение</w:t>
      </w:r>
      <w:r>
        <w:rPr>
          <w:sz w:val="52"/>
          <w:szCs w:val="52"/>
        </w:rPr>
        <w:t xml:space="preserve"> экзаменационной работы </w:t>
      </w:r>
      <w:r>
        <w:rPr>
          <w:sz w:val="52"/>
          <w:szCs w:val="52"/>
          <w:lang w:val="ru-RU"/>
        </w:rPr>
        <w:t xml:space="preserve"> по уважительным причинам</w:t>
      </w:r>
      <w:r>
        <w:rPr>
          <w:sz w:val="52"/>
          <w:szCs w:val="52"/>
          <w:lang w:val="ru-RU"/>
        </w:rPr>
        <w:t xml:space="preserve"> (болезнь или иные обстоятельства), подтверждённые документально</w:t>
      </w:r>
      <w:r>
        <w:rPr>
          <w:sz w:val="52"/>
          <w:szCs w:val="52"/>
          <w:lang w:val="ru-RU"/>
        </w:rPr>
        <w:t xml:space="preserve">;</w:t>
      </w:r>
      <w:r/>
    </w:p>
    <w:p>
      <w:pPr>
        <w:jc w:val="both"/>
        <w:rPr>
          <w:sz w:val="52"/>
          <w:highlight w:val="none"/>
          <w:lang w:val="ru-RU"/>
        </w:rPr>
      </w:pPr>
      <w:r>
        <w:rPr>
          <w:sz w:val="52"/>
          <w:szCs w:val="52"/>
        </w:rPr>
        <w:t xml:space="preserve">4</w:t>
      </w:r>
      <w:r>
        <w:rPr>
          <w:sz w:val="52"/>
          <w:szCs w:val="52"/>
        </w:rPr>
        <w:t xml:space="preserve">)</w:t>
      </w:r>
      <w:r>
        <w:rPr>
          <w:sz w:val="52"/>
          <w:szCs w:val="52"/>
        </w:rPr>
        <w:t xml:space="preserve"> </w:t>
      </w:r>
      <w:r>
        <w:rPr>
          <w:sz w:val="52"/>
          <w:szCs w:val="52"/>
          <w:lang w:val="ru-RU"/>
        </w:rPr>
        <w:t xml:space="preserve">участники ГИА</w:t>
      </w:r>
      <w:r>
        <w:rPr>
          <w:sz w:val="52"/>
          <w:szCs w:val="52"/>
        </w:rPr>
        <w:t xml:space="preserve">,</w:t>
      </w:r>
      <w:r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апелляци</w:t>
      </w:r>
      <w:r>
        <w:rPr>
          <w:sz w:val="52"/>
          <w:szCs w:val="52"/>
          <w:lang w:val="ru-RU"/>
        </w:rPr>
        <w:t xml:space="preserve">и</w:t>
      </w:r>
      <w:r>
        <w:rPr>
          <w:sz w:val="52"/>
          <w:szCs w:val="52"/>
        </w:rPr>
        <w:t xml:space="preserve"> которых </w:t>
      </w:r>
      <w:r>
        <w:rPr>
          <w:sz w:val="52"/>
          <w:szCs w:val="52"/>
        </w:rPr>
        <w:t xml:space="preserve"> о нарушении  </w:t>
      </w:r>
      <w:r>
        <w:rPr>
          <w:sz w:val="52"/>
          <w:szCs w:val="52"/>
          <w:lang w:val="ru-RU"/>
        </w:rPr>
        <w:t xml:space="preserve">П</w:t>
      </w:r>
      <w:r>
        <w:rPr>
          <w:sz w:val="52"/>
          <w:szCs w:val="52"/>
        </w:rPr>
        <w:t xml:space="preserve">орядка </w:t>
      </w:r>
      <w:r>
        <w:rPr>
          <w:sz w:val="52"/>
          <w:szCs w:val="52"/>
          <w:lang w:val="ru-RU"/>
        </w:rPr>
        <w:t xml:space="preserve">апелляционной комиссией были удовлетворены;</w:t>
      </w:r>
      <w:r>
        <w:rPr>
          <w:sz w:val="52"/>
          <w:szCs w:val="52"/>
        </w:rPr>
      </w:r>
      <w:r/>
    </w:p>
    <w:p>
      <w:pPr>
        <w:jc w:val="both"/>
        <w:rPr>
          <w:sz w:val="52"/>
          <w:szCs w:val="52"/>
          <w:highlight w:val="none"/>
          <w:lang w:val="ru-RU"/>
        </w:rPr>
      </w:pPr>
      <w:r>
        <w:rPr>
          <w:sz w:val="52"/>
          <w:szCs w:val="52"/>
          <w:highlight w:val="none"/>
          <w:lang w:val="ru-RU"/>
        </w:rPr>
        <w:t xml:space="preserve">5) участники ГИА, чьи результаты были аннулированы по решению председателя ГЭК в случае выявления фактов нарушений Порядка;</w:t>
      </w:r>
      <w:r>
        <w:rPr>
          <w:sz w:val="52"/>
          <w:szCs w:val="52"/>
          <w:highlight w:val="none"/>
          <w:lang w:val="ru-RU"/>
        </w:rPr>
      </w:r>
      <w:r/>
    </w:p>
    <w:p>
      <w:pPr>
        <w:jc w:val="both"/>
        <w:rPr>
          <w:sz w:val="52"/>
          <w:szCs w:val="52"/>
          <w:lang w:val="ru-RU"/>
        </w:rPr>
      </w:pPr>
      <w:r>
        <w:rPr>
          <w:sz w:val="52"/>
          <w:szCs w:val="52"/>
          <w:highlight w:val="none"/>
          <w:lang w:val="ru-RU"/>
        </w:rPr>
        <w:t xml:space="preserve">6) участники ГИА, чьи результаты были аннулированы по решению председателя ГЭК в случае выявления фактов отсутствия, неисправного состояния, отключения средств видеонаблюдения во время проведения экзаменов.</w:t>
      </w:r>
      <w:r>
        <w:rPr>
          <w:sz w:val="52"/>
          <w:szCs w:val="52"/>
          <w:highlight w:val="none"/>
          <w:lang w:val="ru-RU"/>
        </w:rPr>
      </w:r>
      <w:r/>
    </w:p>
    <w:p>
      <w:pPr>
        <w:jc w:val="both"/>
        <w:rPr>
          <w:b/>
          <w:sz w:val="60"/>
          <w:szCs w:val="60"/>
        </w:rPr>
      </w:pPr>
      <w:r>
        <w:rPr>
          <w:b/>
          <w:sz w:val="60"/>
          <w:szCs w:val="60"/>
        </w:rPr>
      </w:r>
      <w:r/>
    </w:p>
    <w:p>
      <w:pPr>
        <w:jc w:val="both"/>
        <w:rPr>
          <w:b/>
          <w:sz w:val="60"/>
          <w:szCs w:val="60"/>
        </w:rPr>
      </w:pPr>
      <w:r>
        <w:rPr>
          <w:b/>
          <w:sz w:val="60"/>
          <w:szCs w:val="60"/>
        </w:rPr>
      </w:r>
      <w:r/>
    </w:p>
    <w:p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</w:r>
      <w:r/>
    </w:p>
    <w:p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</w:r>
      <w:r/>
    </w:p>
    <w:p>
      <w:pPr>
        <w:jc w:val="center"/>
      </w:pPr>
      <w:r>
        <w:rPr>
          <w:b/>
          <w:sz w:val="60"/>
          <w:szCs w:val="60"/>
        </w:rPr>
        <w:t xml:space="preserve">О повторном прохождении ГИА-11</w:t>
      </w:r>
      <w:r>
        <w:rPr>
          <w:b/>
          <w:sz w:val="60"/>
          <w:szCs w:val="60"/>
        </w:rPr>
      </w:r>
      <w:r/>
    </w:p>
    <w:p>
      <w:pPr>
        <w:jc w:val="center"/>
        <w:rPr>
          <w:b/>
          <w:sz w:val="60"/>
          <w:szCs w:val="60"/>
          <w:highlight w:val="none"/>
        </w:rPr>
      </w:pPr>
      <w:r>
        <w:rPr>
          <w:b/>
          <w:sz w:val="60"/>
          <w:szCs w:val="60"/>
        </w:rPr>
        <w:t xml:space="preserve">(в сентябрьские сроки)</w:t>
      </w:r>
      <w:r>
        <w:rPr>
          <w:b/>
          <w:sz w:val="60"/>
          <w:szCs w:val="60"/>
        </w:rPr>
      </w:r>
      <w:r/>
      <w:r>
        <w:rPr>
          <w:b/>
          <w:sz w:val="60"/>
          <w:szCs w:val="60"/>
          <w:highlight w:val="none"/>
        </w:rPr>
      </w:r>
      <w:r>
        <w:rPr>
          <w:b/>
          <w:sz w:val="60"/>
          <w:szCs w:val="60"/>
          <w:highlight w:val="none"/>
        </w:rPr>
      </w:r>
      <w:r>
        <w:rPr>
          <w:b/>
          <w:sz w:val="60"/>
          <w:szCs w:val="60"/>
          <w:highlight w:val="none"/>
          <w:lang w:val="ru-RU"/>
        </w:rPr>
      </w:r>
      <w:r>
        <w:rPr>
          <w:b/>
          <w:sz w:val="60"/>
          <w:szCs w:val="60"/>
          <w:highlight w:val="none"/>
        </w:rPr>
      </w:r>
      <w:r/>
      <w:r/>
    </w:p>
    <w:p>
      <w:pPr>
        <w:jc w:val="both"/>
        <w:rPr>
          <w:sz w:val="60"/>
          <w:szCs w:val="60"/>
          <w:highlight w:val="none"/>
          <w:lang w:val="ru-RU"/>
        </w:rPr>
      </w:pPr>
      <w:r>
        <w:rPr>
          <w:sz w:val="60"/>
          <w:szCs w:val="60"/>
          <w:lang w:val="ru-RU"/>
        </w:rPr>
        <w:t xml:space="preserve">К ГИА в форме ЕГЭ по русскому языку и (или) математике базового уровня в дополнительный период, но </w:t>
      </w:r>
      <w:r>
        <w:rPr>
          <w:b/>
          <w:sz w:val="60"/>
          <w:szCs w:val="60"/>
          <w:lang w:val="ru-RU"/>
        </w:rPr>
        <w:t xml:space="preserve">не ранее 1 сентября</w:t>
      </w:r>
      <w:r>
        <w:rPr>
          <w:sz w:val="60"/>
          <w:szCs w:val="60"/>
          <w:lang w:val="ru-RU"/>
        </w:rPr>
        <w:t xml:space="preserve"> текущего года допускаются:</w:t>
      </w:r>
      <w:r/>
    </w:p>
    <w:p>
      <w:pPr>
        <w:jc w:val="both"/>
        <w:rPr>
          <w:sz w:val="60"/>
          <w:szCs w:val="60"/>
          <w:highlight w:val="none"/>
          <w:lang w:val="ru-RU"/>
        </w:rPr>
      </w:pPr>
      <w:r>
        <w:rPr>
          <w:sz w:val="60"/>
          <w:szCs w:val="60"/>
          <w:highlight w:val="none"/>
          <w:lang w:val="ru-RU"/>
        </w:rPr>
        <w:t xml:space="preserve">1)участники ГИА, не прошедшие ГИА по обязательным учебным предметам, в том числе участники ГИА, чьи результаты ГИА по обязательным учебным предметам в текущем году были аннулированы по решению председателя ГЭК в случае нарушения Порядка участниками ГИА;</w:t>
      </w:r>
      <w:r>
        <w:rPr>
          <w:sz w:val="60"/>
          <w:szCs w:val="60"/>
          <w:highlight w:val="none"/>
          <w:lang w:val="ru-RU"/>
        </w:rPr>
      </w:r>
    </w:p>
    <w:p>
      <w:pPr>
        <w:jc w:val="both"/>
        <w:rPr>
          <w:sz w:val="60"/>
          <w:szCs w:val="60"/>
          <w:lang w:val="ru-RU"/>
        </w:rPr>
      </w:pPr>
      <w:r>
        <w:rPr>
          <w:sz w:val="60"/>
          <w:szCs w:val="60"/>
          <w:highlight w:val="none"/>
          <w:lang w:val="ru-RU"/>
        </w:rPr>
        <w:t xml:space="preserve">2)участники ГИА,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 в резервные сроки.</w:t>
      </w:r>
      <w:r>
        <w:rPr>
          <w:sz w:val="60"/>
          <w:szCs w:val="60"/>
          <w:highlight w:val="none"/>
          <w:lang w:val="ru-RU"/>
        </w:rPr>
      </w:r>
    </w:p>
    <w:p>
      <w:pPr>
        <w:jc w:val="both"/>
      </w:pPr>
      <w:r>
        <w:rPr>
          <w:b/>
          <w:sz w:val="60"/>
          <w:szCs w:val="60"/>
        </w:rPr>
        <w:t xml:space="preserve">по экзаменам по выбору</w:t>
      </w:r>
      <w:r>
        <w:rPr>
          <w:sz w:val="60"/>
          <w:szCs w:val="60"/>
        </w:rPr>
        <w:t xml:space="preserve">-не </w:t>
      </w:r>
      <w:r>
        <w:rPr>
          <w:sz w:val="60"/>
          <w:szCs w:val="60"/>
        </w:rPr>
        <w:t xml:space="preserve">ранее</w:t>
      </w:r>
      <w:r>
        <w:rPr>
          <w:sz w:val="60"/>
          <w:szCs w:val="60"/>
        </w:rPr>
        <w:t xml:space="preserve"> чем через год.</w:t>
      </w:r>
      <w:r/>
      <w:r/>
    </w:p>
    <w:p>
      <w:pPr>
        <w:jc w:val="both"/>
        <w:rPr>
          <w:sz w:val="60"/>
          <w:szCs w:val="60"/>
          <w:lang w:val="ru-RU"/>
        </w:rPr>
      </w:pPr>
      <w:r>
        <w:rPr>
          <w:sz w:val="60"/>
          <w:szCs w:val="60"/>
          <w:lang w:val="ru-RU"/>
        </w:rPr>
      </w:r>
      <w:r/>
    </w:p>
    <w:p>
      <w:pPr>
        <w:jc w:val="both"/>
        <w:rPr>
          <w:sz w:val="60"/>
          <w:szCs w:val="60"/>
          <w:lang w:val="ru-RU"/>
        </w:rPr>
      </w:pPr>
      <w:r>
        <w:rPr>
          <w:sz w:val="60"/>
          <w:szCs w:val="60"/>
          <w:lang w:val="ru-RU"/>
        </w:rPr>
      </w:r>
      <w:r/>
    </w:p>
    <w:p>
      <w:pPr>
        <w:jc w:val="both"/>
        <w:rPr>
          <w:sz w:val="60"/>
          <w:szCs w:val="60"/>
          <w:lang w:val="ru-RU"/>
        </w:rPr>
      </w:pPr>
      <w:r>
        <w:rPr>
          <w:sz w:val="60"/>
          <w:szCs w:val="60"/>
          <w:lang w:val="ru-RU"/>
        </w:rPr>
      </w:r>
      <w:r/>
    </w:p>
    <w:sectPr>
      <w:footnotePr/>
      <w:endnotePr/>
      <w:type w:val="nextPage"/>
      <w:pgSz w:w="16838" w:h="11906" w:orient="landscape"/>
      <w:pgMar w:top="567" w:right="1134" w:bottom="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47">
    <w:name w:val="Heading 1 Char"/>
    <w:link w:val="608"/>
    <w:uiPriority w:val="9"/>
    <w:rPr>
      <w:rFonts w:ascii="Arial" w:hAnsi="Arial" w:cs="Arial" w:eastAsia="Arial"/>
      <w:sz w:val="40"/>
      <w:szCs w:val="40"/>
    </w:rPr>
  </w:style>
  <w:style w:type="character" w:styleId="448">
    <w:name w:val="Heading 2 Char"/>
    <w:link w:val="609"/>
    <w:uiPriority w:val="9"/>
    <w:rPr>
      <w:rFonts w:ascii="Arial" w:hAnsi="Arial" w:cs="Arial" w:eastAsia="Arial"/>
      <w:sz w:val="34"/>
    </w:rPr>
  </w:style>
  <w:style w:type="character" w:styleId="449">
    <w:name w:val="Heading 3 Char"/>
    <w:link w:val="610"/>
    <w:uiPriority w:val="9"/>
    <w:rPr>
      <w:rFonts w:ascii="Arial" w:hAnsi="Arial" w:cs="Arial" w:eastAsia="Arial"/>
      <w:sz w:val="30"/>
      <w:szCs w:val="30"/>
    </w:rPr>
  </w:style>
  <w:style w:type="character" w:styleId="450">
    <w:name w:val="Heading 4 Char"/>
    <w:link w:val="611"/>
    <w:uiPriority w:val="9"/>
    <w:rPr>
      <w:rFonts w:ascii="Arial" w:hAnsi="Arial" w:cs="Arial" w:eastAsia="Arial"/>
      <w:b/>
      <w:bCs/>
      <w:sz w:val="26"/>
      <w:szCs w:val="26"/>
    </w:rPr>
  </w:style>
  <w:style w:type="character" w:styleId="451">
    <w:name w:val="Heading 5 Char"/>
    <w:link w:val="612"/>
    <w:uiPriority w:val="9"/>
    <w:rPr>
      <w:rFonts w:ascii="Arial" w:hAnsi="Arial" w:cs="Arial" w:eastAsia="Arial"/>
      <w:b/>
      <w:bCs/>
      <w:sz w:val="24"/>
      <w:szCs w:val="24"/>
    </w:rPr>
  </w:style>
  <w:style w:type="character" w:styleId="452">
    <w:name w:val="Heading 6 Char"/>
    <w:link w:val="613"/>
    <w:uiPriority w:val="9"/>
    <w:rPr>
      <w:rFonts w:ascii="Arial" w:hAnsi="Arial" w:cs="Arial" w:eastAsia="Arial"/>
      <w:b/>
      <w:bCs/>
      <w:sz w:val="22"/>
      <w:szCs w:val="22"/>
    </w:rPr>
  </w:style>
  <w:style w:type="character" w:styleId="453">
    <w:name w:val="Heading 7 Char"/>
    <w:link w:val="6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4">
    <w:name w:val="Heading 8 Char"/>
    <w:link w:val="615"/>
    <w:uiPriority w:val="9"/>
    <w:rPr>
      <w:rFonts w:ascii="Arial" w:hAnsi="Arial" w:cs="Arial" w:eastAsia="Arial"/>
      <w:i/>
      <w:iCs/>
      <w:sz w:val="22"/>
      <w:szCs w:val="22"/>
    </w:rPr>
  </w:style>
  <w:style w:type="character" w:styleId="455">
    <w:name w:val="Heading 9 Char"/>
    <w:link w:val="616"/>
    <w:uiPriority w:val="9"/>
    <w:rPr>
      <w:rFonts w:ascii="Arial" w:hAnsi="Arial" w:cs="Arial" w:eastAsia="Arial"/>
      <w:i/>
      <w:iCs/>
      <w:sz w:val="21"/>
      <w:szCs w:val="21"/>
    </w:rPr>
  </w:style>
  <w:style w:type="character" w:styleId="456">
    <w:name w:val="Title Char"/>
    <w:link w:val="625"/>
    <w:uiPriority w:val="10"/>
    <w:rPr>
      <w:sz w:val="48"/>
      <w:szCs w:val="48"/>
    </w:rPr>
  </w:style>
  <w:style w:type="character" w:styleId="457">
    <w:name w:val="Subtitle Char"/>
    <w:link w:val="623"/>
    <w:uiPriority w:val="11"/>
    <w:rPr>
      <w:sz w:val="24"/>
      <w:szCs w:val="24"/>
    </w:rPr>
  </w:style>
  <w:style w:type="character" w:styleId="458">
    <w:name w:val="Quote Char"/>
    <w:link w:val="622"/>
    <w:uiPriority w:val="29"/>
    <w:rPr>
      <w:i/>
    </w:rPr>
  </w:style>
  <w:style w:type="character" w:styleId="459">
    <w:name w:val="Intense Quote Char"/>
    <w:link w:val="624"/>
    <w:uiPriority w:val="30"/>
    <w:rPr>
      <w:i/>
    </w:rPr>
  </w:style>
  <w:style w:type="character" w:styleId="460">
    <w:name w:val="Header Char"/>
    <w:link w:val="620"/>
    <w:uiPriority w:val="99"/>
  </w:style>
  <w:style w:type="character" w:styleId="461">
    <w:name w:val="Footer Char"/>
    <w:link w:val="619"/>
    <w:uiPriority w:val="99"/>
  </w:style>
  <w:style w:type="paragraph" w:styleId="462">
    <w:name w:val="Caption"/>
    <w:basedOn w:val="607"/>
    <w:next w:val="6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3">
    <w:name w:val="Caption Char"/>
    <w:basedOn w:val="462"/>
    <w:link w:val="619"/>
    <w:uiPriority w:val="99"/>
  </w:style>
  <w:style w:type="table" w:styleId="464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9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1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3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4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6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8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99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0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1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3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4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6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7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8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09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0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1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2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8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29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0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1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2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3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4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9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6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7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8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59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0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1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2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3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64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65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66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67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68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69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0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1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2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73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74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75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76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7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78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79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0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1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2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3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84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85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86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87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88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89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90">
    <w:name w:val="Hyperlink"/>
    <w:uiPriority w:val="99"/>
    <w:unhideWhenUsed/>
    <w:rPr>
      <w:color w:val="0000FF" w:themeColor="hyperlink"/>
      <w:u w:val="single"/>
    </w:rPr>
  </w:style>
  <w:style w:type="paragraph" w:styleId="591">
    <w:name w:val="footnote text"/>
    <w:basedOn w:val="607"/>
    <w:link w:val="592"/>
    <w:uiPriority w:val="99"/>
    <w:semiHidden/>
    <w:unhideWhenUsed/>
    <w:rPr>
      <w:sz w:val="18"/>
    </w:rPr>
    <w:pPr>
      <w:spacing w:lineRule="auto" w:line="240" w:after="40"/>
    </w:pPr>
  </w:style>
  <w:style w:type="character" w:styleId="592">
    <w:name w:val="Footnote Text Char"/>
    <w:link w:val="591"/>
    <w:uiPriority w:val="99"/>
    <w:rPr>
      <w:sz w:val="18"/>
    </w:rPr>
  </w:style>
  <w:style w:type="character" w:styleId="593">
    <w:name w:val="footnote reference"/>
    <w:uiPriority w:val="99"/>
    <w:unhideWhenUsed/>
    <w:rPr>
      <w:vertAlign w:val="superscript"/>
    </w:rPr>
  </w:style>
  <w:style w:type="paragraph" w:styleId="594">
    <w:name w:val="endnote text"/>
    <w:basedOn w:val="607"/>
    <w:link w:val="595"/>
    <w:uiPriority w:val="99"/>
    <w:semiHidden/>
    <w:unhideWhenUsed/>
    <w:rPr>
      <w:sz w:val="20"/>
    </w:rPr>
    <w:pPr>
      <w:spacing w:lineRule="auto" w:line="240" w:after="0"/>
    </w:pPr>
  </w:style>
  <w:style w:type="character" w:styleId="595">
    <w:name w:val="Endnote Text Char"/>
    <w:link w:val="594"/>
    <w:uiPriority w:val="99"/>
    <w:rPr>
      <w:sz w:val="20"/>
    </w:rPr>
  </w:style>
  <w:style w:type="character" w:styleId="596">
    <w:name w:val="endnote reference"/>
    <w:uiPriority w:val="99"/>
    <w:semiHidden/>
    <w:unhideWhenUsed/>
    <w:rPr>
      <w:vertAlign w:val="superscript"/>
    </w:rPr>
  </w:style>
  <w:style w:type="paragraph" w:styleId="597">
    <w:name w:val="toc 1"/>
    <w:basedOn w:val="607"/>
    <w:next w:val="607"/>
    <w:uiPriority w:val="39"/>
    <w:unhideWhenUsed/>
    <w:pPr>
      <w:ind w:left="0" w:right="0" w:firstLine="0"/>
      <w:spacing w:after="57"/>
    </w:pPr>
  </w:style>
  <w:style w:type="paragraph" w:styleId="598">
    <w:name w:val="toc 2"/>
    <w:basedOn w:val="607"/>
    <w:next w:val="607"/>
    <w:uiPriority w:val="39"/>
    <w:unhideWhenUsed/>
    <w:pPr>
      <w:ind w:left="283" w:right="0" w:firstLine="0"/>
      <w:spacing w:after="57"/>
    </w:pPr>
  </w:style>
  <w:style w:type="paragraph" w:styleId="599">
    <w:name w:val="toc 3"/>
    <w:basedOn w:val="607"/>
    <w:next w:val="607"/>
    <w:uiPriority w:val="39"/>
    <w:unhideWhenUsed/>
    <w:pPr>
      <w:ind w:left="567" w:right="0" w:firstLine="0"/>
      <w:spacing w:after="57"/>
    </w:pPr>
  </w:style>
  <w:style w:type="paragraph" w:styleId="600">
    <w:name w:val="toc 4"/>
    <w:basedOn w:val="607"/>
    <w:next w:val="607"/>
    <w:uiPriority w:val="39"/>
    <w:unhideWhenUsed/>
    <w:pPr>
      <w:ind w:left="850" w:right="0" w:firstLine="0"/>
      <w:spacing w:after="57"/>
    </w:pPr>
  </w:style>
  <w:style w:type="paragraph" w:styleId="601">
    <w:name w:val="toc 5"/>
    <w:basedOn w:val="607"/>
    <w:next w:val="607"/>
    <w:uiPriority w:val="39"/>
    <w:unhideWhenUsed/>
    <w:pPr>
      <w:ind w:left="1134" w:right="0" w:firstLine="0"/>
      <w:spacing w:after="57"/>
    </w:pPr>
  </w:style>
  <w:style w:type="paragraph" w:styleId="602">
    <w:name w:val="toc 6"/>
    <w:basedOn w:val="607"/>
    <w:next w:val="607"/>
    <w:uiPriority w:val="39"/>
    <w:unhideWhenUsed/>
    <w:pPr>
      <w:ind w:left="1417" w:right="0" w:firstLine="0"/>
      <w:spacing w:after="57"/>
    </w:pPr>
  </w:style>
  <w:style w:type="paragraph" w:styleId="603">
    <w:name w:val="toc 7"/>
    <w:basedOn w:val="607"/>
    <w:next w:val="607"/>
    <w:uiPriority w:val="39"/>
    <w:unhideWhenUsed/>
    <w:pPr>
      <w:ind w:left="1701" w:right="0" w:firstLine="0"/>
      <w:spacing w:after="57"/>
    </w:pPr>
  </w:style>
  <w:style w:type="paragraph" w:styleId="604">
    <w:name w:val="toc 8"/>
    <w:basedOn w:val="607"/>
    <w:next w:val="607"/>
    <w:uiPriority w:val="39"/>
    <w:unhideWhenUsed/>
    <w:pPr>
      <w:ind w:left="1984" w:right="0" w:firstLine="0"/>
      <w:spacing w:after="57"/>
    </w:pPr>
  </w:style>
  <w:style w:type="paragraph" w:styleId="605">
    <w:name w:val="toc 9"/>
    <w:basedOn w:val="607"/>
    <w:next w:val="607"/>
    <w:uiPriority w:val="39"/>
    <w:unhideWhenUsed/>
    <w:pPr>
      <w:ind w:left="2268" w:right="0" w:firstLine="0"/>
      <w:spacing w:after="57"/>
    </w:pPr>
  </w:style>
  <w:style w:type="paragraph" w:styleId="606">
    <w:name w:val="TOC Heading"/>
    <w:uiPriority w:val="39"/>
    <w:unhideWhenUsed/>
  </w:style>
  <w:style w:type="paragraph" w:styleId="607" w:default="1">
    <w:name w:val="Normal"/>
    <w:qFormat/>
  </w:style>
  <w:style w:type="paragraph" w:styleId="608">
    <w:name w:val="Heading 1"/>
    <w:basedOn w:val="607"/>
    <w:next w:val="607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9">
    <w:name w:val="Heading 2"/>
    <w:basedOn w:val="607"/>
    <w:next w:val="607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10">
    <w:name w:val="Heading 3"/>
    <w:basedOn w:val="607"/>
    <w:next w:val="607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11">
    <w:name w:val="Heading 4"/>
    <w:basedOn w:val="607"/>
    <w:next w:val="607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12">
    <w:name w:val="Heading 5"/>
    <w:basedOn w:val="607"/>
    <w:next w:val="607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13">
    <w:name w:val="Heading 6"/>
    <w:basedOn w:val="607"/>
    <w:next w:val="607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14">
    <w:name w:val="Heading 7"/>
    <w:basedOn w:val="607"/>
    <w:next w:val="607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15">
    <w:name w:val="Heading 8"/>
    <w:basedOn w:val="607"/>
    <w:next w:val="607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16">
    <w:name w:val="Heading 9"/>
    <w:basedOn w:val="607"/>
    <w:next w:val="607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paragraph" w:styleId="619">
    <w:name w:val="Foot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0">
    <w:name w:val="Header"/>
    <w:basedOn w:val="6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21">
    <w:name w:val="No Spacing"/>
    <w:qFormat/>
    <w:uiPriority w:val="1"/>
    <w:pPr>
      <w:spacing w:lineRule="auto" w:line="240" w:after="0"/>
    </w:pPr>
  </w:style>
  <w:style w:type="paragraph" w:styleId="622">
    <w:name w:val="Quote"/>
    <w:basedOn w:val="607"/>
    <w:next w:val="607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23">
    <w:name w:val="Subtitle"/>
    <w:basedOn w:val="607"/>
    <w:next w:val="607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24">
    <w:name w:val="Intense Quote"/>
    <w:basedOn w:val="607"/>
    <w:next w:val="607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25">
    <w:name w:val="Title"/>
    <w:basedOn w:val="607"/>
    <w:next w:val="607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26">
    <w:name w:val="List Paragraph"/>
    <w:basedOn w:val="607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2023-09-27T12:41:05Z</dcterms:modified>
</cp:coreProperties>
</file>