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Анализ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государственной итоговой аттестации обучающихся 11 класса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муниципального бюджетного общеобразовательного учреждения </w:t>
      </w:r>
      <w:r>
        <w:rPr>
          <w:rFonts w:ascii="Times New Roman" w:hAnsi="Times New Roman" w:cs="Times New Roman" w:eastAsia="Times New Roman"/>
          <w:b/>
          <w:sz w:val="28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«Средняя общеобразовательная школа №5»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Дальнереченского городского округа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2022-2023 учебный год.</w:t>
      </w:r>
      <w:r>
        <w:rPr>
          <w:rFonts w:ascii="Times New Roman" w:hAnsi="Times New Roman" w:cs="Times New Roman" w:eastAsia="Times New Roman"/>
          <w:b/>
          <w:sz w:val="28"/>
          <w:highlight w:val="none"/>
          <w:lang w:val="ru-RU"/>
        </w:rPr>
      </w:r>
      <w:r/>
    </w:p>
    <w:p>
      <w:pPr>
        <w:contextualSpacing w:val="true"/>
        <w:ind w:left="0" w:right="-357" w:firstLine="0"/>
        <w:jc w:val="both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На конец 2022-2023 учебного года в 11 классе обучалось 8 выпускников. Из них 8 обучающихся (100%) на основании результат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ов обучения и решения педагогического совета (протокол №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  <w:lang w:val="ru-RU"/>
        </w:rPr>
        <w:t xml:space="preserve">6 от 17.05.2023 г.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  <w:lang w:val="ru-RU"/>
        </w:rPr>
        <w:t xml:space="preserve">)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приказом директора были допущены к государственной итоговой аттестации. В данном учебном году все обучающиеся 11 класса  проходили государственную итоговую аттестацию в форме ЕГЭ.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Результаты обязательных экзаменов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(основные сроки)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70"/>
        <w:tblW w:w="0" w:type="auto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Форма прохождения ГИА-11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Не прошли уровень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57,8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 (базовый уровень)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Балакина Г.А.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75,0%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</w:t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 (профильный уровень)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75,0%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41,5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</w:tbl>
    <w:p>
      <w:pPr>
        <w:contextualSpacing w:val="true"/>
        <w:ind w:left="0" w:right="-357" w:firstLine="0"/>
        <w:jc w:val="left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both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По результатам экзаменов в основные сроки 8 выпускников (100%) успешно прошли государственную итоговую аттестацию по русскому языку. Самый высокий результат-85 баллов. Экзамен по математике  4 обучающихся (50,0%) сдавали на базово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м уровне и 4 обучающихся ( 50,0%) на профильном уровне. Пороговый балл по предмету на базовом и профильном уровне не преодолели 2 выпускника (25,0%). Причиной неудовлетворительного результата является низкий уровень самоподготовки обучающихся  по предмету.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both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По результатам прохождения выпускниками экзаменов по обязательным предметам, на основании Порядка проведения государственной итоговой аттестации по о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бразовательным программам среднего общего образования и решения педагогического совета ( протокол </w:t>
      </w:r>
      <w:r>
        <w:rPr>
          <w:rFonts w:ascii="Times New Roman" w:hAnsi="Times New Roman" w:cs="Times New Roman" w:eastAsia="Times New Roman"/>
          <w:b w:val="false"/>
          <w:i w:val="false"/>
          <w:color w:val="auto"/>
          <w:sz w:val="24"/>
          <w:highlight w:val="none"/>
          <w:lang w:val="ru-RU"/>
        </w:rPr>
        <w:t xml:space="preserve">№8 от 20.06.2023 г</w:t>
      </w:r>
      <w:r>
        <w:rPr>
          <w:rFonts w:ascii="Times New Roman" w:hAnsi="Times New Roman" w:cs="Times New Roman" w:eastAsia="Times New Roman"/>
          <w:b w:val="false"/>
          <w:i w:val="false"/>
          <w:color w:val="auto"/>
          <w:sz w:val="24"/>
          <w:highlight w:val="none"/>
          <w:lang w:val="ru-RU"/>
        </w:rPr>
        <w:t xml:space="preserve">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) 6 обучающихся (75,0%) окончили среднюю школу; 2 выпускников (25,0%) были допущены к сдаче экзамена по математике повторно в резервные сроки.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Итоговые результаты государственной итоговой аттестации 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выпускников 11 класса по обязательным предметам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70"/>
        <w:tblW w:w="0" w:type="auto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Форма прохождения ГИА-11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Не прошли уровень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57,8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 (базовый уровень)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02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Балакина Г.А.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t xml:space="preserve">4,5</w:t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 (профильный уровень)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0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</w:tr>
    </w:tbl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lang w:val="ru-RU"/>
        </w:rPr>
        <w:t xml:space="preserve">Динамика результатов ГИА по обязательным предметам за 3 года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Русский язык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70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0"/>
        <w:gridCol w:w="2900"/>
        <w:gridCol w:w="2900"/>
      </w:tblGrid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год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Форма прохождения ГИА-11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2020-2021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Железнова С.М.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ГВЭ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67,6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Железнова С.М.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58,8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290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2022-2023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57,8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lang w:val="ru-RU"/>
        </w:rPr>
        <w:t xml:space="preserve">Математика</w:t>
      </w:r>
      <w:r>
        <w:rPr>
          <w:rFonts w:ascii="Times New Roman" w:hAnsi="Times New Roman" w:cs="Times New Roman" w:eastAsia="Times New Roman"/>
          <w:b/>
          <w:i/>
          <w:sz w:val="24"/>
          <w:lang w:val="ru-RU"/>
        </w:rPr>
      </w:r>
      <w:r/>
    </w:p>
    <w:tbl>
      <w:tblPr>
        <w:tblStyle w:val="470"/>
        <w:tblW w:w="0" w:type="auto"/>
        <w:tblLayout w:type="fixed"/>
        <w:tblLook w:val="04A0" w:firstRow="1" w:lastRow="0" w:firstColumn="1" w:lastColumn="0" w:noHBand="0" w:noVBand="1"/>
      </w:tblPr>
      <w:tblGrid>
        <w:gridCol w:w="2900"/>
        <w:gridCol w:w="2900"/>
        <w:gridCol w:w="2245"/>
        <w:gridCol w:w="3555"/>
        <w:gridCol w:w="2900"/>
      </w:tblGrid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год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Форма прохождения ГИА-11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55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2020-2021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9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Васильева О.В.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ГВЭ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3555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Базовый уровень-100%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Профильный уровень-100%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290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3555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Базовый уровень-100%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Профильный уровень-100%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290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2022-2023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Балакина Г.А.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555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Базовый уровень-100%</w:t>
            </w:r>
            <w:r>
              <w:rPr>
                <w:sz w:val="24"/>
              </w:rPr>
            </w:r>
            <w:r/>
          </w:p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Профильный уровень-100%</w:t>
            </w:r>
            <w:r>
              <w:rPr>
                <w:sz w:val="24"/>
              </w:rPr>
            </w:r>
            <w:r/>
          </w:p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4,5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lang w:val="ru-RU"/>
        </w:rPr>
      </w:r>
      <w:r/>
    </w:p>
    <w:p>
      <w:pPr>
        <w:jc w:val="both"/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4"/>
          <w:lang w:val="ru-RU"/>
        </w:rPr>
        <w:t xml:space="preserve">В сравнении с 2020-2021 и 2021-2022 учебными годами результаты государственной 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тоговой аттестации  текущего года по обязательным предметам снизились. По русскому языку на 9,8 баллов (с 67,6 до 57,8); по математике —на 24 балла (с 70 баллов до 46). Причинами снижения результатов является низкий уровень учебной мотивации обучающихся. 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jc w:val="center"/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Экзамены по выбору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jc w:val="both"/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В качестве предм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етов по выбору в 2022-2023 учебном году выпускники выбрали 6 предметов. Так как выпускников по численности мало и 2 выпускников (25,0%) при прохождении ГИА-11 решили сдавать только обязательные предметы, поэтому предметов с большим выбором выпускников нет.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tbl>
      <w:tblPr>
        <w:tblStyle w:val="470"/>
        <w:tblW w:w="0" w:type="auto"/>
        <w:tblLook w:val="04A0" w:firstRow="1" w:lastRow="0" w:firstColumn="1" w:lastColumn="0" w:noHBand="0" w:noVBand="1"/>
      </w:tblPr>
      <w:tblGrid>
        <w:gridCol w:w="3626"/>
        <w:gridCol w:w="3626"/>
        <w:gridCol w:w="3626"/>
        <w:gridCol w:w="3626"/>
      </w:tblGrid>
      <w:tr>
        <w:trPr/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выпускников, сдававших экзамен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от общего количества выпускников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Ситько Н.Ф.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37,5%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Ситько Н.Ф.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12,5%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12,5%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12,5%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Козолуп Т.Д.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37,5%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Ващенко Е.В.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12,5%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jc w:val="left"/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При выборе 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предметов для про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хождения ГИА-11 остались невостребованными такие предметы как литература, география, иностранный язык т.к. выпускники 2022-2023 учебного года не связали данные предметы с дальнейшим поступлением в образовательные учреждения для получения будущей профессии.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Кроме того, 1 выпускник, выбравший для прохождения ГИА-11 предмет «Информатика», не явился на экзамен в установленные сроки.</w:t>
      </w:r>
      <w:r/>
    </w:p>
    <w:p>
      <w:pPr>
        <w:jc w:val="center"/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Результаты экзаменов по выбору выпускников за 3 года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70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2"/>
        <w:gridCol w:w="2072"/>
        <w:gridCol w:w="2072"/>
        <w:gridCol w:w="2072"/>
        <w:gridCol w:w="2072"/>
      </w:tblGrid>
      <w:tr>
        <w:trPr/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gridSpan w:val="3"/>
            <w:tcW w:w="62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Успеваемость (в %)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gridSpan w:val="3"/>
            <w:tcW w:w="62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2020-2021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2021-2022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2022-2023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2020-2021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2021-2022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2022-2023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83,3%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53,7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61,5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46,7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41,2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47,0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13,5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86,0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74,0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66,7%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35,7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В текущем учебном году все предметы по выбору выпускников сданы успешно, кроме физики. Один выпускник не преодолел пороговый балл по предмету (набрал 22 балла при проходно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м 36 баллов). Основной причиной неуспешности является слабый уровень самоподготовки по предмету.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jc w:val="center"/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8"/>
          <w:highlight w:val="none"/>
          <w:lang w:val="ru-RU"/>
        </w:rPr>
        <w:t xml:space="preserve">Анализ экзаменов по предметам естественно-научного цикла</w:t>
      </w:r>
      <w:r>
        <w:rPr>
          <w:rFonts w:ascii="Times New Roman" w:hAnsi="Times New Roman" w:cs="Times New Roman" w:eastAsia="Times New Roman"/>
          <w:b/>
          <w:i/>
          <w:sz w:val="28"/>
          <w:highlight w:val="none"/>
        </w:rPr>
      </w:r>
      <w:r/>
    </w:p>
    <w:p>
      <w:pPr>
        <w:pStyle w:val="634"/>
        <w:jc w:val="center"/>
        <w:rPr>
          <w:highlight w:val="none"/>
        </w:rPr>
      </w:pPr>
      <w:r>
        <w:rPr>
          <w:b/>
          <w:sz w:val="24"/>
          <w:szCs w:val="28"/>
        </w:rPr>
        <w:t xml:space="preserve">Анализ экзаменационных работ по физике</w:t>
      </w:r>
      <w:r>
        <w:rPr>
          <w:sz w:val="24"/>
          <w:highlight w:val="none"/>
        </w:rPr>
      </w:r>
      <w:r/>
    </w:p>
    <w:p>
      <w:pPr>
        <w:pStyle w:val="634"/>
        <w:jc w:val="both"/>
        <w:rPr>
          <w:highlight w:val="none"/>
        </w:rPr>
      </w:pPr>
      <w:r>
        <w:rPr>
          <w:b w:val="false"/>
          <w:sz w:val="24"/>
          <w:szCs w:val="28"/>
          <w:highlight w:val="none"/>
        </w:rPr>
        <w:t xml:space="preserve">     Из 8 обучающихся, допущенных к государственной итоговой аттестации, 3 ч. (37,5% от общего числа обучающихся) сдавали экзамен в форме ЕГЭ  по предмету.</w:t>
      </w:r>
      <w:r>
        <w:rPr>
          <w:sz w:val="24"/>
          <w:highlight w:val="none"/>
        </w:rPr>
      </w:r>
      <w:r/>
    </w:p>
    <w:p>
      <w:pPr>
        <w:pStyle w:val="634"/>
        <w:jc w:val="center"/>
      </w:pPr>
      <w:r>
        <w:rPr>
          <w:b/>
          <w:sz w:val="28"/>
          <w:szCs w:val="28"/>
          <w:highlight w:val="none"/>
        </w:rPr>
      </w:r>
      <w:r/>
    </w:p>
    <w:tbl>
      <w:tblPr>
        <w:tblStyle w:val="47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2031"/>
        <w:gridCol w:w="2433"/>
        <w:gridCol w:w="2433"/>
        <w:gridCol w:w="2433"/>
        <w:gridCol w:w="2433"/>
      </w:tblGrid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Предмет</w:t>
            </w:r>
            <w:r>
              <w:rPr>
                <w:b/>
                <w:i/>
                <w:sz w:val="24"/>
                <w:szCs w:val="28"/>
                <w:lang w:val="en-US"/>
              </w:rPr>
              <w:t xml:space="preserve">/</w:t>
            </w:r>
            <w:r>
              <w:rPr>
                <w:b/>
                <w:i/>
                <w:sz w:val="24"/>
                <w:szCs w:val="28"/>
                <w:lang w:val="ru-RU"/>
              </w:rPr>
              <w:t xml:space="preserve">работающий учитель</w:t>
            </w:r>
            <w:r/>
          </w:p>
        </w:tc>
        <w:tc>
          <w:tcPr>
            <w:tcW w:w="2031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</w:rPr>
              <w:t xml:space="preserve">Количество обучающихся, сдававших экзамен</w:t>
            </w:r>
            <w:r/>
          </w:p>
        </w:tc>
        <w:tc>
          <w:tcPr>
            <w:tcW w:w="2433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Процент успеваемости</w:t>
            </w:r>
            <w:r/>
          </w:p>
        </w:tc>
        <w:tc>
          <w:tcPr>
            <w:tcW w:w="2433" w:type="dxa"/>
            <w:textDirection w:val="lrTb"/>
            <w:noWrap w:val="false"/>
          </w:tcPr>
          <w:p>
            <w:pPr>
              <w:pStyle w:val="634"/>
            </w:pPr>
            <w:r>
              <w:rPr>
                <w:b/>
                <w:i/>
                <w:sz w:val="24"/>
              </w:rPr>
              <w:t xml:space="preserve">Минимальная граница</w:t>
            </w:r>
            <w:r/>
          </w:p>
        </w:tc>
        <w:tc>
          <w:tcPr>
            <w:tcW w:w="2433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Средний балл</w:t>
            </w:r>
            <w:r/>
          </w:p>
        </w:tc>
        <w:tc>
          <w:tcPr>
            <w:tcW w:w="2433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Не прошли уровень</w:t>
            </w:r>
            <w:r/>
          </w:p>
        </w:tc>
      </w:tr>
      <w:tr>
        <w:trPr>
          <w:trHeight w:val="436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Козолуп Т.Д.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0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3</w:t>
            </w:r>
            <w:r/>
          </w:p>
        </w:tc>
        <w:tc>
          <w:tcPr>
            <w:tcW w:w="2433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66,7%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33" w:type="dxa"/>
            <w:textDirection w:val="lrTb"/>
            <w:noWrap w:val="false"/>
          </w:tcPr>
          <w:p>
            <w:pPr>
              <w:pStyle w:val="634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33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35,7</w:t>
            </w:r>
            <w:r/>
          </w:p>
        </w:tc>
        <w:tc>
          <w:tcPr>
            <w:tcW w:w="2433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/>
          </w:p>
        </w:tc>
      </w:tr>
    </w:tbl>
    <w:p>
      <w:pPr>
        <w:pStyle w:val="634"/>
        <w:jc w:val="center"/>
      </w:pPr>
      <w:r>
        <w:rPr>
          <w:b w:val="false"/>
          <w:sz w:val="28"/>
          <w:szCs w:val="28"/>
        </w:rPr>
      </w:r>
      <w:r/>
    </w:p>
    <w:p>
      <w:pPr>
        <w:pStyle w:val="634"/>
        <w:jc w:val="center"/>
        <w:rPr>
          <w:highlight w:val="none"/>
        </w:rPr>
      </w:pP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ЕГЭ</w:t>
      </w:r>
      <w:r>
        <w:rPr>
          <w:sz w:val="24"/>
          <w:highlight w:val="none"/>
        </w:rPr>
      </w:r>
      <w:r/>
    </w:p>
    <w:p>
      <w:pPr>
        <w:pStyle w:val="634"/>
        <w:jc w:val="center"/>
      </w:pPr>
      <w:r>
        <w:rPr>
          <w:b/>
          <w:sz w:val="24"/>
          <w:szCs w:val="28"/>
        </w:rPr>
      </w:r>
      <w:r>
        <w:rPr>
          <w:sz w:val="24"/>
        </w:rPr>
      </w:r>
      <w:r/>
    </w:p>
    <w:tbl>
      <w:tblPr>
        <w:tblStyle w:val="470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>
        <w:trPr>
          <w:trHeight w:val="557"/>
        </w:trPr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</w:rPr>
              <w:t xml:space="preserve">Задания с кратким ответом (№1-23)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</w:rPr>
              <w:t xml:space="preserve">Задания с развёрнутым ответом (№24-31)</w:t>
            </w:r>
            <w:r/>
          </w:p>
        </w:tc>
      </w:tr>
      <w:tr>
        <w:trPr>
          <w:trHeight w:val="520"/>
        </w:trPr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left"/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  <w:tr>
        <w:trPr>
          <w:trHeight w:val="260"/>
        </w:trPr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left"/>
            </w:pPr>
            <w:r>
              <w:rPr>
                <w:b w:val="false"/>
                <w:sz w:val="24"/>
              </w:rPr>
              <w:t xml:space="preserve">Выполнили частично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3ч. (100,0%)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0ч.(0%)</w:t>
            </w:r>
            <w:r/>
          </w:p>
        </w:tc>
      </w:tr>
      <w:tr>
        <w:trPr>
          <w:trHeight w:val="260"/>
        </w:trPr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left"/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3 ч. (100,0%)</w:t>
            </w:r>
            <w:r/>
          </w:p>
        </w:tc>
      </w:tr>
    </w:tbl>
    <w:p>
      <w:pPr>
        <w:pStyle w:val="634"/>
        <w:jc w:val="center"/>
      </w:pPr>
      <w:r>
        <w:rPr>
          <w:b/>
          <w:sz w:val="28"/>
          <w:szCs w:val="28"/>
        </w:rPr>
      </w:r>
      <w:r/>
    </w:p>
    <w:p>
      <w:pPr>
        <w:pStyle w:val="634"/>
        <w:jc w:val="center"/>
        <w:rPr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ЕГЭ</w:t>
      </w:r>
      <w:r>
        <w:rPr>
          <w:b/>
          <w:sz w:val="24"/>
          <w:szCs w:val="28"/>
          <w:highlight w:val="none"/>
        </w:rPr>
      </w:r>
      <w:r/>
    </w:p>
    <w:p>
      <w:pPr>
        <w:pStyle w:val="634"/>
        <w:jc w:val="center"/>
        <w:rPr>
          <w:highlight w:val="none"/>
        </w:rPr>
      </w:pPr>
      <w:r>
        <w:rPr>
          <w:b/>
          <w:sz w:val="24"/>
          <w:szCs w:val="28"/>
          <w:highlight w:val="none"/>
        </w:rPr>
      </w:r>
      <w:r>
        <w:rPr>
          <w:sz w:val="24"/>
          <w:highlight w:val="none"/>
        </w:rPr>
      </w:r>
      <w:r/>
    </w:p>
    <w:tbl>
      <w:tblPr>
        <w:tblStyle w:val="470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496"/>
        <w:gridCol w:w="1276"/>
        <w:gridCol w:w="2693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i/>
                <w:highlight w:val="none"/>
              </w:rPr>
              <w:t xml:space="preserve">Предметный результат</w:t>
            </w:r>
            <w:r>
              <w:rPr>
                <w:highlight w:val="none"/>
              </w:rPr>
            </w:r>
            <w:r/>
          </w:p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Применять  при описании физических процессов и явлений величины и законы.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(66,7%)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Применять  при описании физических процессов и явлений величины и законы.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b/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Применять  при описании физических процессов и явлений величины и законы.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(33,3%)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1ч. (33,3%)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(33,3%)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Применять  при описании физических процессов и явлений величины и законы.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(33,3%)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Применять  при описании физических процессов и явлений величины и законы.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Применять  при описании физических процессов и явлений величины и законы.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Применять  при описании физических процессов и явлений величины и законы.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(33,3%)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(33,3%)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Применять  при описании физических процессов и явлений величины и законы.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Применять  при описании физических процессов и явлений величины и законы.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(33,3%)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Применять  при описании физических процессов и явлений величины и законы.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(66,7%)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(33,3%)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Применять  при описании физических процессов и явлений величины и законы.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Применять  при описании физических процессов и явлений величины и законы.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(66,7%)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Правильно трактовать физический смысл изученных физических величин, законов и закономерностей.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(33,3%)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Использовать графическое представление информации.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Определять показания измерительных приборов.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(66,7%)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23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Планировать эксперимент, отбирать оборудование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(66,7%)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24</w:t>
            </w:r>
            <w:r>
              <w:rPr>
                <w:color w:val="auto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качественные задачи, использующие типовые учебные ситуации с явно заданными физическими моделями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25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явно заданной физической моделью с использованием законов и формул из одного раздела курса физики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26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явно заданной физической моделью с использованием законов и формул из одного раздела курса физики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27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неявно заданной физической моделью с использованием законов и формул из одного-двух разделов курса физики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28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неявно заданной физической моделью с использованием законов и формул из одного-двух разделов курса физики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29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неявно заданной физической моделью с использованием законов и формул из одного-двух разделов курса физики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30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неявно заданной физической моделью с использованием законов и формул из одного-двух разделов курса физики, обосновывая выбор физической модели для решения задачи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34"/>
        <w:jc w:val="both"/>
        <w:rPr>
          <w:highlight w:val="none"/>
        </w:rPr>
      </w:pPr>
      <w:r>
        <w:rPr>
          <w:b/>
          <w:sz w:val="24"/>
          <w:szCs w:val="28"/>
          <w:highlight w:val="none"/>
        </w:rPr>
        <w:t xml:space="preserve">Вывод: </w:t>
      </w:r>
      <w:r>
        <w:rPr>
          <w:b w:val="false"/>
          <w:sz w:val="24"/>
          <w:szCs w:val="28"/>
          <w:highlight w:val="none"/>
        </w:rPr>
        <w:t xml:space="preserve">обучающиеся, выбравшие экзамен по физике при решении заданий КИМ ЕГЭ</w:t>
      </w:r>
      <w:r>
        <w:rPr>
          <w:b w:val="false"/>
          <w:sz w:val="24"/>
          <w:szCs w:val="28"/>
          <w:highlight w:val="none"/>
        </w:rPr>
        <w:t xml:space="preserve"> приступали к заданиям баз</w:t>
      </w:r>
      <w:r>
        <w:rPr>
          <w:b w:val="false"/>
          <w:sz w:val="24"/>
          <w:szCs w:val="28"/>
          <w:highlight w:val="none"/>
        </w:rPr>
        <w:t xml:space="preserve">ового и повышенного уровней сложности. Нужно отметить , что основная масса заданий в экзаменационных работах выполнена лишь в первой части на базовом уровне, во второй части КИМ не было выполнено ни одного задания повышенного и высокого уровней сложности..</w:t>
      </w:r>
      <w:r>
        <w:rPr>
          <w:b w:val="false"/>
          <w:sz w:val="24"/>
          <w:highlight w:val="none"/>
        </w:rPr>
      </w:r>
      <w:r/>
    </w:p>
    <w:p>
      <w:pPr>
        <w:pStyle w:val="634"/>
        <w:jc w:val="both"/>
        <w:rPr>
          <w:highlight w:val="none"/>
        </w:rPr>
      </w:pPr>
      <w:r>
        <w:rPr>
          <w:b/>
          <w:sz w:val="24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Не сформированы умения обучающихся на повышенном и высоком уровне:</w:t>
      </w:r>
      <w:r>
        <w:rPr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  <w:t xml:space="preserve">1. Использовать графическое представление информации.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2</w:t>
      </w:r>
      <w:r>
        <w:rPr>
          <w:rFonts w:ascii="Times New Roman" w:hAnsi="Times New Roman" w:cs="Times New Roman" w:eastAsia="Times New Roman"/>
          <w:sz w:val="24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Решать качественные задачи, использующие типовые учебные ситуации с явно заданными физическими моделями</w:t>
      </w:r>
      <w:r>
        <w:rPr>
          <w:rFonts w:ascii="Times New Roman" w:hAnsi="Times New Roman" w:cs="Times New Roman" w:eastAsia="Times New Roman"/>
          <w:lang w:val="ru-RU"/>
        </w:rPr>
        <w:t xml:space="preserve">.</w:t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3. </w:t>
      </w:r>
      <w:r>
        <w:rPr>
          <w:rFonts w:ascii="Times New Roman" w:hAnsi="Times New Roman" w:cs="Times New Roman" w:eastAsia="Times New Roman"/>
          <w:sz w:val="24"/>
        </w:rPr>
        <w:t xml:space="preserve">Решать расчётные задачи с явно заданной физической моделью с использованием законов и формул из одного раздела курса физики</w:t>
      </w:r>
      <w:r>
        <w:rPr>
          <w:rFonts w:ascii="Times New Roman" w:hAnsi="Times New Roman" w:cs="Times New Roman" w:eastAsia="Times New Roman"/>
          <w:lang w:val="ru-RU"/>
        </w:rPr>
        <w:t xml:space="preserve">.</w:t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4</w:t>
      </w:r>
      <w:r>
        <w:rPr>
          <w:rFonts w:ascii="Times New Roman" w:hAnsi="Times New Roman" w:cs="Times New Roman" w:eastAsia="Times New Roman"/>
          <w:sz w:val="24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Решать расчётные задачи с неявно заданной физической моделью с использованием законов и формул из одного-двух разделов курса физики</w:t>
      </w:r>
      <w:r>
        <w:rPr>
          <w:rFonts w:ascii="Times New Roman" w:hAnsi="Times New Roman" w:cs="Times New Roman" w:eastAsia="Times New Roman"/>
          <w:lang w:val="ru-RU"/>
        </w:rPr>
        <w:t xml:space="preserve">.</w:t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5</w:t>
      </w:r>
      <w:r>
        <w:rPr>
          <w:rFonts w:ascii="Times New Roman" w:hAnsi="Times New Roman" w:cs="Times New Roman" w:eastAsia="Times New Roman"/>
          <w:sz w:val="24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Решать расчётные задачи с неявно заданной физической моделью с использованием законов и формул из одного-двух разделов курса физики, обосновывая выбор физической модели для решения задачи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pStyle w:val="634"/>
        <w:jc w:val="center"/>
        <w:rPr>
          <w:highlight w:val="none"/>
        </w:rPr>
      </w:pPr>
      <w:r>
        <w:rPr>
          <w:b/>
          <w:i/>
          <w:sz w:val="24"/>
          <w:szCs w:val="28"/>
        </w:rPr>
        <w:t xml:space="preserve">Анализ экзаменационных работ по химии</w:t>
      </w:r>
      <w:r>
        <w:rPr>
          <w:b/>
          <w:i/>
          <w:highlight w:val="none"/>
        </w:rPr>
      </w:r>
      <w:r/>
    </w:p>
    <w:p>
      <w:pPr>
        <w:pStyle w:val="634"/>
        <w:jc w:val="both"/>
        <w:rPr>
          <w:highlight w:val="none"/>
        </w:rPr>
      </w:pPr>
      <w:r>
        <w:rPr>
          <w:b w:val="false"/>
          <w:sz w:val="28"/>
          <w:szCs w:val="28"/>
          <w:highlight w:val="none"/>
        </w:rPr>
        <w:t xml:space="preserve">  </w:t>
      </w:r>
      <w:r>
        <w:rPr>
          <w:b w:val="false"/>
          <w:sz w:val="24"/>
          <w:szCs w:val="28"/>
          <w:highlight w:val="none"/>
        </w:rPr>
        <w:t xml:space="preserve">   Из 8 обучающихся, допущенных к государственной итоговой аттестации, 1 ч. (12,5% от общего числа обучающихся) сдавал экзамен в форме ЕГЭ  по предмету.</w:t>
      </w:r>
      <w:r>
        <w:rPr>
          <w:sz w:val="24"/>
          <w:highlight w:val="none"/>
        </w:rPr>
      </w:r>
      <w:r/>
    </w:p>
    <w:p>
      <w:pPr>
        <w:pStyle w:val="634"/>
        <w:jc w:val="both"/>
      </w:pPr>
      <w:r>
        <w:rPr>
          <w:b/>
          <w:sz w:val="24"/>
          <w:szCs w:val="28"/>
          <w:highlight w:val="none"/>
        </w:rPr>
      </w:r>
      <w:r>
        <w:rPr>
          <w:sz w:val="24"/>
        </w:rPr>
      </w:r>
      <w:r/>
    </w:p>
    <w:tbl>
      <w:tblPr>
        <w:tblStyle w:val="470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1912"/>
        <w:gridCol w:w="2427"/>
        <w:gridCol w:w="2427"/>
        <w:gridCol w:w="2427"/>
        <w:gridCol w:w="2427"/>
      </w:tblGrid>
      <w:tr>
        <w:trPr/>
        <w:tc>
          <w:tcPr>
            <w:tcW w:w="2942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Предмет</w:t>
            </w:r>
            <w:r>
              <w:rPr>
                <w:b/>
                <w:i/>
                <w:sz w:val="24"/>
                <w:szCs w:val="28"/>
                <w:lang w:val="en-US"/>
              </w:rPr>
              <w:t xml:space="preserve">/</w:t>
            </w:r>
            <w:r>
              <w:rPr>
                <w:b/>
                <w:i/>
                <w:sz w:val="24"/>
                <w:szCs w:val="28"/>
                <w:lang w:val="ru-RU"/>
              </w:rPr>
              <w:t xml:space="preserve">работающий учитель</w:t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</w:rPr>
              <w:t xml:space="preserve">Количество обучающихся, сдававших экзамен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Процент успеваемости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4"/>
            </w:pPr>
            <w:r>
              <w:rPr>
                <w:b/>
                <w:i/>
                <w:sz w:val="24"/>
              </w:rPr>
              <w:t xml:space="preserve">Минимальная граница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Средний балл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Не прошли уровень</w:t>
            </w:r>
            <w:r/>
          </w:p>
        </w:tc>
      </w:tr>
      <w:tr>
        <w:trPr>
          <w:trHeight w:val="436"/>
        </w:trPr>
        <w:tc>
          <w:tcPr>
            <w:tcW w:w="29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Цымбал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Т.Ю.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100,0%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4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86</w:t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34"/>
        <w:jc w:val="center"/>
      </w:pPr>
      <w:r>
        <w:rPr>
          <w:b w:val="false"/>
          <w:sz w:val="28"/>
          <w:szCs w:val="28"/>
        </w:rPr>
      </w:r>
      <w:r/>
    </w:p>
    <w:p>
      <w:pPr>
        <w:pStyle w:val="634"/>
        <w:jc w:val="center"/>
      </w:pPr>
      <w:r>
        <w:rPr>
          <w:b/>
          <w:sz w:val="24"/>
          <w:szCs w:val="28"/>
        </w:rPr>
      </w:r>
      <w:r>
        <w:rPr>
          <w:b/>
          <w:sz w:val="24"/>
          <w:szCs w:val="28"/>
        </w:rPr>
      </w:r>
      <w:r/>
    </w:p>
    <w:p>
      <w:pPr>
        <w:pStyle w:val="634"/>
        <w:jc w:val="center"/>
        <w:rPr>
          <w:highlight w:val="none"/>
        </w:rPr>
      </w:pP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ЕГЭ</w:t>
      </w:r>
      <w:r>
        <w:rPr>
          <w:sz w:val="24"/>
          <w:highlight w:val="none"/>
        </w:rPr>
      </w:r>
      <w:r/>
    </w:p>
    <w:p>
      <w:pPr>
        <w:pStyle w:val="634"/>
        <w:jc w:val="center"/>
      </w:pPr>
      <w:r>
        <w:rPr>
          <w:b/>
          <w:sz w:val="28"/>
          <w:szCs w:val="28"/>
        </w:rPr>
      </w:r>
      <w:r/>
    </w:p>
    <w:tbl>
      <w:tblPr>
        <w:tblStyle w:val="470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>
        <w:trPr>
          <w:trHeight w:val="541"/>
        </w:trPr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</w:rPr>
              <w:t xml:space="preserve">Задания с кратким ответом (№1-28)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</w:rPr>
              <w:t xml:space="preserve">Задания с развёрнутым ответом (№29-34)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left"/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left"/>
            </w:pPr>
            <w:r>
              <w:rPr>
                <w:b w:val="false"/>
                <w:sz w:val="24"/>
              </w:rPr>
              <w:t xml:space="preserve">Выполнили частично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1ч. (100,0%)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1ч.(100,0%)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left"/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</w:tbl>
    <w:p>
      <w:pPr>
        <w:pStyle w:val="634"/>
        <w:jc w:val="center"/>
      </w:pPr>
      <w:r>
        <w:rPr>
          <w:b/>
          <w:sz w:val="28"/>
          <w:szCs w:val="28"/>
        </w:rPr>
      </w:r>
      <w:r/>
    </w:p>
    <w:p>
      <w:pPr>
        <w:pStyle w:val="634"/>
        <w:jc w:val="center"/>
        <w:rPr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ЕГЭ</w:t>
      </w:r>
      <w:r>
        <w:rPr>
          <w:highlight w:val="none"/>
        </w:rPr>
      </w:r>
      <w:r/>
    </w:p>
    <w:tbl>
      <w:tblPr>
        <w:tblStyle w:val="470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921"/>
        <w:gridCol w:w="1276"/>
        <w:gridCol w:w="2268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i/>
                <w:highlight w:val="none"/>
              </w:rPr>
              <w:t xml:space="preserve">Проверяемые элементы содержания</w:t>
            </w:r>
            <w:r>
              <w:rPr>
                <w:highlight w:val="none"/>
              </w:rPr>
            </w:r>
            <w:r/>
          </w:p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Строение электронных оболочек атомов элементов первых четырёх периодов: s-, pи d-элементы. Электронная конфигурация атома. Основное и возбуждённое состояния атомов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Закономерности изменения химических свойств элементов и их соединений по периодам и группам. Общая характеристика металлов IА–IIIА групп в связи с их положением в Периодической системе химических элементов Д.И. Менделеева и особенностями строения их атомов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 Общая характеристика неметаллов IVА– VIIА групп в связи с их положением в П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ериодической системе химических элементов Д.И. Менделеева и особенностями строения их атомов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Электроотрицательность. Степень окисления и валентность химических элементов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ой решётки. Зависимость свойств веществ от их состава и строения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неорганических веществ. Номенклатура неорганических веществ (тривиальная и международная)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Характерные химические свойства простых веществ – металлов: щелочных, щёлочноземельных, магния, алюминия; переходных металлов: меди, цинка, хрома, железа. Характерные химические свойства простых веществ – неметаллов: водорода, галогенов, кислорода, серы, 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зота, фосфора, углерода, кремния. Характерные химические свойства оксидов: оснóвных, амфотерных, кислотных 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едних, кислых, оснóвных; комплексных (на примере гидроксосоединений алюминия и цинка). Электролитическая диссоциация электролитов в водных растворах. Сильные и слабые электролиты. Реакции ионного обмена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неорганических веществ. Номенклатура неорганических веществ (тривиальная и международная). Характерные химические свойства неорганических веществ: – простых веществ – металлов: щелочных, щёлочноземельных, магния, алюминия, переходных металлов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(меди, цинка, хрома, железа); – простых веществ – неметаллов: водорода, галогенов, кислорода, серы, азота, фосфора, углерода, кремния; – оксидов: оснóвных, амфотерных, кислотных; – оснований и амфотерных гидроксидов; – кислот; – солей: средних, кислых, ос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нóвных; комплексных (на примере гидроксосоединений алюминия и цинка)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неорганических веществ. Номенклатура неорганических веществ (тривиальная и международная); Характерные химические свойства неорганических веществ: – простых веществ – металлов: щелочных, щёлочноземельных, магния, алюминия, переходных металлов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(меди, цинка, хрома, железа); – простых веществ – неметаллов: водорода, галогенов, кислорода, серы, азота, фосфора, углерода, кремния; – оксидов: оснóвных, амфотерных, кислотных; – оснований и амфотерных гидроксидов; – кислот; – солей: средних, кислых, ос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нóвных; комплексных (на примере гидроксосоединений алюминия и цинка)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Взаимосвязь неорганических веществ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органических веществ. Номенклатура органических веществ (тривиальная и международная)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орбиталей углерода. Радикал. Функциональная группа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Основные способы получения углеводородов (в лаборатории). Характерные химические свойства пр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едельных одноатомных и многоатомных спиртов, фенола. Характерные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Характерные химические свойства азотсодержащих органических соединений: аминов и аминокислот. Важнейшие способы получения аминов и аминокислот. Биологически важные вещества: жиры, углеводы (моносахариды, дисахариды, полисахариды), белки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Важнейшие способы получения углеводородов. Ионный (правило В.В. Марковникова) и радикальные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механизмы реакций в органической химии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Характерные химические свойства предельных одноатомных и многоатомных спиртов, фенола, альдегидов, карбоновых кислот, сложных эфиров. Важнейшие способы получения кислородсодержащих органических соединений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Взаимосвязь углеводородов, кислородсодержащих и азотсодержащих органических соединений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химических реакций в неорганической и органической химии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Скорость реакции, её зависимость от различных факторов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Реакции окислительно-восстановительны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Электролиз расплавов и растворов (солей, щелочей, кислот)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Гидролиз солей. Среда водных растворов: кислая, нейтральная, щелочная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Обратимые и необратимые химические реакции. Химическое равновесие. Смещение равновесия под действием различных факторов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Обратимые и необратимые химические реакции. Химическое равновесие. Расчёты количества вещества, массы вещества или объёма газов по известному количеству вещества, массе или объёму одного из участвующих в реакции веществ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Качественные реакции на неорганические вещества и ионы. Качественные реакции органических соединений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очистки веществ. 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26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Расчёты с использованием понятий «растворимость», «массовая доля вещества в растворе»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Расчёты теплового эффекта (по термохимическим уравнениям)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Расчёты массы вещества или объёма газов по известному количеству вещества, массе или объёму одного из участвующих в реакции веществ. Расчёты массовой или объёмной доли выхода продукта реакции от теоретически возможного. Расчёты массовой доли (массы) химиче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ского соединения в смеси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Окислитель и восстановитель. Реакции окислительно-восстановительные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Электролитическая диссоциация электролитов в водных растворах. Сильные и слабые электролиты. Реакции ионного обмена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Реакции, подтверждающие взаимосвязь различных классов неорганических веществ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Реакции, подтверждающие взаимосвязь органических соединений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Установление молекулярной и структурной формул вещества.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Расчёты с использованием понятий «растворимость», «массовая доля вещества в рас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творе». Расчёты массы продуктов реакции, если одно из них дано в избытке. Расчёты массы продуктов реакции, если одно из веществ дано в виде раствора с определённой массовой долей растворённого вещества. Расчёты массовой доли химического соединения в смеси.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  <w:r/>
          </w:p>
        </w:tc>
      </w:tr>
    </w:tbl>
    <w:p>
      <w:pPr>
        <w:pStyle w:val="634"/>
        <w:jc w:val="center"/>
        <w:rPr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634"/>
        <w:jc w:val="both"/>
        <w:rPr>
          <w:highlight w:val="none"/>
        </w:rPr>
      </w:pPr>
      <w:r>
        <w:rPr>
          <w:b/>
          <w:sz w:val="24"/>
          <w:szCs w:val="28"/>
          <w:highlight w:val="none"/>
        </w:rPr>
        <w:t xml:space="preserve">Вывод: </w:t>
      </w:r>
      <w:r>
        <w:rPr>
          <w:b w:val="false"/>
          <w:sz w:val="24"/>
          <w:szCs w:val="28"/>
          <w:highlight w:val="none"/>
        </w:rPr>
        <w:t xml:space="preserve">обучающийся, выбравший экзамен по химии при решении заданий КИМ ЕГЭ</w:t>
      </w:r>
      <w:r>
        <w:rPr>
          <w:b w:val="false"/>
          <w:sz w:val="24"/>
          <w:szCs w:val="28"/>
          <w:highlight w:val="none"/>
        </w:rPr>
        <w:t xml:space="preserve"> приступал к </w:t>
      </w:r>
      <w:r>
        <w:rPr>
          <w:b w:val="false"/>
          <w:sz w:val="24"/>
          <w:szCs w:val="28"/>
          <w:highlight w:val="none"/>
        </w:rPr>
        <w:t xml:space="preserve">заданиям базового,повышенного и высокого уровней сложности. Нужно отметить , что основная масса заданий в экзаменационной работе выполнена практически полностью. Обучающийся не справился с одним заданием в первой части КИМа, и двумя заданиями второй части.</w:t>
      </w:r>
      <w:r>
        <w:rPr>
          <w:b w:val="false"/>
          <w:sz w:val="24"/>
          <w:highlight w:val="none"/>
        </w:rPr>
      </w:r>
      <w:r/>
    </w:p>
    <w:p>
      <w:pPr>
        <w:pStyle w:val="634"/>
        <w:jc w:val="both"/>
        <w:rPr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Не сформированы умения обучающегося на высоком уровне:</w:t>
      </w:r>
      <w:r>
        <w:rPr>
          <w:sz w:val="24"/>
          <w:highlight w:val="none"/>
        </w:rPr>
      </w:r>
      <w:r/>
    </w:p>
    <w:p>
      <w:pPr>
        <w:contextualSpacing w:val="true"/>
        <w:jc w:val="both"/>
        <w:rPr>
          <w:b w:val="false"/>
          <w:sz w:val="24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1</w:t>
      </w:r>
      <w:r>
        <w:rPr>
          <w:rFonts w:ascii="Times New Roman" w:hAnsi="Times New Roman" w:cs="Times New Roman" w:eastAsia="Times New Roman"/>
          <w:sz w:val="24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Окислитель и восстановитель. Реакции окислительно-восстановительные</w:t>
      </w:r>
      <w:r>
        <w:rPr>
          <w:b w:val="false"/>
          <w:sz w:val="24"/>
          <w:szCs w:val="28"/>
          <w:lang w:val="ru-RU"/>
        </w:rPr>
        <w:t xml:space="preserve">.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lang w:val="ru-RU"/>
        </w:rPr>
        <w:t xml:space="preserve">2.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Расчёты с использованием понятий «растворимость», «массовая доля вещества в рас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творе». Расчёты массы продуктов реакции, если одно из них дано в избытке. Расчёты массы продуктов реакции, если одно из веществ дано в виде раствора с определённой массовой долей растворённого вещества. Расчёты массовой доли химического соединения в смеси.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634"/>
        <w:jc w:val="center"/>
        <w:rPr>
          <w:highlight w:val="none"/>
        </w:rPr>
      </w:pPr>
      <w:r>
        <w:rPr>
          <w:b/>
          <w:i/>
          <w:sz w:val="24"/>
          <w:szCs w:val="28"/>
        </w:rPr>
        <w:t xml:space="preserve">Анализ экзаменационных работ по биологии</w:t>
      </w:r>
      <w:r>
        <w:rPr>
          <w:i/>
          <w:sz w:val="24"/>
          <w:highlight w:val="none"/>
        </w:rPr>
      </w:r>
      <w:r/>
    </w:p>
    <w:p>
      <w:pPr>
        <w:pStyle w:val="634"/>
        <w:jc w:val="both"/>
        <w:rPr>
          <w:highlight w:val="none"/>
        </w:rPr>
      </w:pPr>
      <w:r>
        <w:rPr>
          <w:b w:val="false"/>
          <w:sz w:val="28"/>
          <w:szCs w:val="28"/>
          <w:highlight w:val="none"/>
        </w:rPr>
        <w:t xml:space="preserve">   </w:t>
      </w:r>
      <w:r>
        <w:rPr>
          <w:b w:val="false"/>
          <w:sz w:val="24"/>
          <w:szCs w:val="28"/>
          <w:highlight w:val="none"/>
        </w:rPr>
        <w:t xml:space="preserve">  Из 8 обучающихся, допущенных к государственной итоговой аттестации, 1 ч. (12,5% от общего числа обучающихся) сдавал экзамен в форме ЕГЭ  по предмету.</w:t>
      </w:r>
      <w:r>
        <w:rPr>
          <w:sz w:val="24"/>
          <w:highlight w:val="none"/>
        </w:rPr>
      </w:r>
      <w:r/>
    </w:p>
    <w:tbl>
      <w:tblPr>
        <w:tblStyle w:val="470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1912"/>
        <w:gridCol w:w="2427"/>
        <w:gridCol w:w="2427"/>
        <w:gridCol w:w="2427"/>
        <w:gridCol w:w="2427"/>
      </w:tblGrid>
      <w:tr>
        <w:trPr/>
        <w:tc>
          <w:tcPr>
            <w:tcW w:w="2942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Предмет</w:t>
            </w:r>
            <w:r>
              <w:rPr>
                <w:b/>
                <w:i/>
                <w:sz w:val="24"/>
                <w:szCs w:val="28"/>
                <w:lang w:val="en-US"/>
              </w:rPr>
              <w:t xml:space="preserve">/</w:t>
            </w:r>
            <w:r>
              <w:rPr>
                <w:b/>
                <w:i/>
                <w:sz w:val="24"/>
                <w:szCs w:val="28"/>
                <w:lang w:val="ru-RU"/>
              </w:rPr>
              <w:t xml:space="preserve">работающий учитель</w:t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</w:rPr>
              <w:t xml:space="preserve">Количество обучающихся, сдававших экзамен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Процент успеваемости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4"/>
            </w:pPr>
            <w:r>
              <w:rPr>
                <w:b/>
                <w:i/>
                <w:sz w:val="24"/>
              </w:rPr>
              <w:t xml:space="preserve">Минимальная граница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Средний балл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Не прошли уровень</w:t>
            </w:r>
            <w:r/>
          </w:p>
        </w:tc>
      </w:tr>
      <w:tr>
        <w:trPr>
          <w:trHeight w:val="436"/>
        </w:trPr>
        <w:tc>
          <w:tcPr>
            <w:tcW w:w="29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100,0%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4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74</w:t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</w:t>
            </w:r>
            <w:r/>
          </w:p>
        </w:tc>
      </w:tr>
    </w:tbl>
    <w:p>
      <w:pPr>
        <w:pStyle w:val="634"/>
        <w:jc w:val="center"/>
      </w:pPr>
      <w:r>
        <w:rPr>
          <w:b w:val="false"/>
          <w:sz w:val="28"/>
          <w:szCs w:val="28"/>
        </w:rPr>
      </w:r>
      <w:r/>
    </w:p>
    <w:p>
      <w:pPr>
        <w:pStyle w:val="634"/>
        <w:jc w:val="center"/>
        <w:rPr>
          <w:highlight w:val="none"/>
        </w:rPr>
      </w:pP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ЕГЭ</w:t>
      </w:r>
      <w:r>
        <w:rPr>
          <w:sz w:val="24"/>
          <w:highlight w:val="none"/>
        </w:rPr>
      </w:r>
      <w:r/>
    </w:p>
    <w:p>
      <w:pPr>
        <w:pStyle w:val="634"/>
        <w:jc w:val="center"/>
      </w:pPr>
      <w:r>
        <w:rPr>
          <w:b/>
          <w:sz w:val="28"/>
          <w:szCs w:val="28"/>
        </w:rPr>
      </w:r>
      <w:r/>
    </w:p>
    <w:tbl>
      <w:tblPr>
        <w:tblStyle w:val="470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>
        <w:trPr>
          <w:trHeight w:val="591"/>
        </w:trPr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</w:rPr>
              <w:t xml:space="preserve">Задания с кратким ответом (№1-21)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/>
                <w:i/>
                <w:sz w:val="24"/>
              </w:rPr>
              <w:t xml:space="preserve">Задания с развёрнутым ответом (№22-28)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left"/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1 ч. (100,0%)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left"/>
            </w:pPr>
            <w:r>
              <w:rPr>
                <w:b w:val="false"/>
                <w:sz w:val="24"/>
              </w:rPr>
              <w:t xml:space="preserve">Выполнили частично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0ч.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1ч.(100,0%)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left"/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4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</w:tbl>
    <w:p>
      <w:pPr>
        <w:pStyle w:val="634"/>
        <w:jc w:val="center"/>
      </w:pPr>
      <w:r>
        <w:rPr>
          <w:b/>
          <w:sz w:val="28"/>
          <w:szCs w:val="28"/>
        </w:rPr>
      </w:r>
      <w:r/>
    </w:p>
    <w:p>
      <w:pPr>
        <w:pStyle w:val="634"/>
        <w:jc w:val="center"/>
        <w:rPr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ЕГЭ</w:t>
      </w:r>
      <w:r>
        <w:rPr>
          <w:sz w:val="24"/>
          <w:highlight w:val="none"/>
        </w:rPr>
      </w:r>
      <w:r/>
    </w:p>
    <w:tbl>
      <w:tblPr>
        <w:tblStyle w:val="470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921"/>
        <w:gridCol w:w="1276"/>
        <w:gridCol w:w="2268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i/>
                <w:highlight w:val="none"/>
              </w:rPr>
              <w:t xml:space="preserve">Проверяемые элементы содержания</w:t>
            </w:r>
            <w:r>
              <w:rPr>
                <w:highlight w:val="none"/>
              </w:rPr>
            </w:r>
            <w:r/>
          </w:p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Биология как наука. Методы научного познания. Уровни организации и признаки живого. Работа с таблицей (с рисунком и без рисунка)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Предсказание результатов эксперимента, исходя из знаний о физиологии клеток и организма.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Множественный выбор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Генетическая информация в клетке. Хромосомный набор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 Экологические закономерности. Физиология организмов.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Решение биологическ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их расчётных задач.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Моно- и дигибридное, анализирующее скрещивание. Решение биологическ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ой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задач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Клетка как биологическая система.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Организм как биологическая система. Задание с рисунком.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Клетка как биологическая система.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Организм как биологическая система. Установление соответствия (с рисунком).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Клетка как биологическая система.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Организм как биологическая система. Селекция. Биотехнология. Множественный выбор (с рисунком и без рисунка)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Клетка как биологическая система.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Организм как биологическая система. Селекция. Биотехнология. Установление последовательности (без рисунка)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Многообразие организмов. Грибы, Растения, Животные.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Задание с рисунком.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Многообразие организмов.  Грибы, Растения, Животные. Установление соответствия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Многообразие организмов.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Грибы. Растения. Животные. Множественный выбор.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Многообразие организмов. Основные систематические категории, их соподчинённость. Установление последовательности.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Организм человека.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Задание с рисунком.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Организм человека. Установление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соответствия.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Организм человека. Множественный выбор (с рисунком и без рисунка).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Организм человека. Установление последовательности.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Эволюция живой природы. Множественный выбор (работа с текстом).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Экосистемы и присущие им закономерности. Биосфера.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Множественный выбор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(без рисунка)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Эволюция живой природы. Происхождение человека. Экосистемы и присущие им закономерности. Биосфера. Установление соответствия (без рисунка).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Эволюция живой природы. Происхождение человека. Экосистемы и присущие им закономерности. Биосфера. Установление последовательности.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Общебиологические закономерности. Человек и его здоровье. Работа с таблицей (с рисунком и без рисунка).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Анализ экспертных данных, в табличной или графической форме.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Применение биологических знаний в практических ситуациях, анализ экспериментальных данных (методология эксперимента).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Задание с изображением биологического объекта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Применение биологических знаний в практических ситуациях, анализ экспериментальных данных (выводы по результатам эксперимента и прогнозы).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Задание с изображением биологического объекта.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26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Обобщение и применение знаний о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человеке и многообразии организмов.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Обобщение и применение знаний по общей биологии в новой ситуации.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Решение задач по генетике на применение знаний в новой ситуации.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b w:val="false"/>
                <w:sz w:val="28"/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29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Решение задач по генетике на применение знаний в новой ситуации.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</w:tbl>
    <w:p>
      <w:pPr>
        <w:pStyle w:val="634"/>
        <w:jc w:val="both"/>
        <w:rPr>
          <w:highlight w:val="none"/>
        </w:rPr>
      </w:pPr>
      <w:r>
        <w:rPr>
          <w:b/>
          <w:sz w:val="24"/>
          <w:szCs w:val="28"/>
          <w:highlight w:val="none"/>
        </w:rPr>
        <w:t xml:space="preserve">Вывод: </w:t>
      </w:r>
      <w:r>
        <w:rPr>
          <w:b w:val="false"/>
          <w:sz w:val="24"/>
          <w:szCs w:val="28"/>
          <w:highlight w:val="none"/>
        </w:rPr>
        <w:t xml:space="preserve">обучающийся, выбравший экзамен по биологии при решении заданий КИМ ЕГЭ</w:t>
      </w:r>
      <w:r>
        <w:rPr>
          <w:b w:val="false"/>
          <w:sz w:val="24"/>
          <w:szCs w:val="28"/>
          <w:highlight w:val="none"/>
        </w:rPr>
        <w:t xml:space="preserve"> пр</w:t>
      </w:r>
      <w:r>
        <w:rPr>
          <w:b w:val="false"/>
          <w:sz w:val="24"/>
          <w:szCs w:val="28"/>
          <w:highlight w:val="none"/>
        </w:rPr>
        <w:t xml:space="preserve">иступал к заданиям базового, повышенного и высокого уровней сложности. Нужно отметить , что основная масса заданий КИМа выполнена практически полностью. Не выполнены только три задания высокого уровня сложности из второй части работы.</w:t>
      </w:r>
      <w:r>
        <w:rPr>
          <w:b w:val="false"/>
          <w:sz w:val="24"/>
          <w:highlight w:val="none"/>
        </w:rPr>
      </w:r>
      <w:r/>
    </w:p>
    <w:p>
      <w:pPr>
        <w:pStyle w:val="634"/>
        <w:jc w:val="both"/>
        <w:rPr>
          <w:rFonts w:ascii="Times New Roman" w:hAnsi="Times New Roman" w:cs="Times New Roman" w:eastAsia="Times New Roman"/>
          <w:b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Не сформированы умения обучающегося на  высоком уровне:</w:t>
      </w:r>
      <w:r>
        <w:rPr>
          <w:sz w:val="24"/>
          <w:highlight w:val="none"/>
        </w:rPr>
      </w:r>
      <w:r/>
    </w:p>
    <w:p>
      <w:pPr>
        <w:pStyle w:val="634"/>
        <w:jc w:val="both"/>
        <w:rPr>
          <w:rFonts w:ascii="Times New Roman" w:hAnsi="Times New Roman" w:cs="Times New Roman" w:eastAsia="Times New Roman"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sz w:val="24"/>
          <w:highlight w:val="none"/>
        </w:rPr>
        <w:t xml:space="preserve">1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Обобщение и применение знаний о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человеке и многообразии организмов.</w:t>
      </w:r>
      <w:r>
        <w:rPr>
          <w:rFonts w:ascii="Times New Roman" w:hAnsi="Times New Roman" w:cs="Times New Roman" w:eastAsia="Times New Roman"/>
        </w:rPr>
      </w:r>
      <w:r/>
    </w:p>
    <w:p>
      <w:pPr>
        <w:pStyle w:val="634"/>
        <w:jc w:val="both"/>
        <w:rPr>
          <w:rFonts w:ascii="Times New Roman" w:hAnsi="Times New Roman" w:cs="Times New Roman" w:eastAsia="Times New Roman"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2.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Обобщение и применение знаний по общей биологии в новой ситуации.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634"/>
        <w:jc w:val="both"/>
        <w:rPr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3.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Решение задач по генетике на применение знаний в новой ситуации.</w:t>
      </w:r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В сравнен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ии с 2020-2021 и 2021-2022 учебными го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дами в 2022-2023 учебном году результаты государственной итоговой аттестации имеют тенденцию к росту успеваемости по предметам по выбору ( повышение на 16,1% с 77,2% до 93,3%), но к снижению качества знаний обучающихся по предметам: обществознание, физика.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tbl>
      <w:tblPr>
        <w:tblStyle w:val="470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4"/>
      </w:tblGrid>
      <w:tr>
        <w:trPr/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год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 по обязательным предметам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 по предметам по выбору выпускника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</w:tr>
      <w:tr>
        <w:trPr/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t xml:space="preserve">2020-2021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77,2%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85,7%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3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t xml:space="preserve">2022-2023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93,3%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Вывод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: по результатам прохождения ГИА-11 в 2022-2023 учебном году все выпускники 11 класса получили аттестат о среднем общем образовании, завершив обучение в школе. Государственная итоговая аттестация прошла без нарушений  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Порядка проведения государственной итоговой аттестации по о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бразовательным программам среднего общего образования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. Хотя наблюдается рост успеваемости п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о предметам по выбору, 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однако имеет место снижен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ие качества знаний выпускников по отдельным предметам (обществознание, физика). Отрицательная динамика результатов ГИА наб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людается и по обязательным предметам (русский язык и математика).Основными причинами являются недостаточный уровень работы по индивидуализации и дифференциации обучения,недостаточное стимулирование познавательной активности обучающихся со стороны учителей,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низкий уровень мотивации к получению знаний у некоторых обучающихся,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слабый уровень  самоподготовки выпускников, нежелание в дальнейшем продолжать обучение по профессии в высших учебных заведениях.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Предложения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: учитывая результаты государственной итоговой аттестации, определить направления работы на 2023-2024 учебный год:</w:t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1.Продолжение целенаправленной работы педагогического коллектива по повышению качества образования.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2.Детальный анализ результатов ЕГЭ  и его рассмотрение на заседаниях методических объединений учителей.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3.Организация дополнительных занятий по подготовке к ГИА, выстраивание чёткой системы подготовки обучающихся с разным уровнем знаний.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4.Контроль посещаемости дополнительных занятий по подготовке к ГИА со стороны предметника, классного руководителя, администрации.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5.Усиление степени ответственности за результаты государственных экзаменов по всей вертикали уровней образования:начальная школа-основная школа-старшая школа.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6.Внесение в систему ВШК элементов персонального контроля за работой учителей-предметников выпускных классов.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7.Учителям-предметникам своевременно выявлять обучающихся, имеющих слабую мотивационную подготовку, проводить анализ затруднений в освоении учебного материала, корректировать свою работу.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8.Стимулировать познавательную деятельность обучающихся, использовать индивидуализацию и дифференциацию обучения выпускников.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9.Классным руководителям осуществлять взаимодействие между семьёй и школой с целью организации совместных действий для решения успешности обучения и социализации личности обучающихся.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10. Продолжить формирование положительных мотивационных установок у обучающихся и их родителей к ЕГЭ.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Зам. директора по УВР:                  Т.Ю.Цымбал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sectPr>
      <w:footnotePr/>
      <w:endnotePr/>
      <w:type w:val="nextPage"/>
      <w:pgSz w:w="16838" w:h="11906" w:orient="landscape"/>
      <w:pgMar w:top="425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3">
    <w:name w:val="Heading 1 Char"/>
    <w:link w:val="614"/>
    <w:uiPriority w:val="9"/>
    <w:rPr>
      <w:rFonts w:ascii="Arial" w:hAnsi="Arial" w:cs="Arial" w:eastAsia="Arial"/>
      <w:sz w:val="40"/>
      <w:szCs w:val="40"/>
    </w:rPr>
  </w:style>
  <w:style w:type="character" w:styleId="454">
    <w:name w:val="Heading 2 Char"/>
    <w:link w:val="615"/>
    <w:uiPriority w:val="9"/>
    <w:rPr>
      <w:rFonts w:ascii="Arial" w:hAnsi="Arial" w:cs="Arial" w:eastAsia="Arial"/>
      <w:sz w:val="34"/>
    </w:rPr>
  </w:style>
  <w:style w:type="character" w:styleId="455">
    <w:name w:val="Heading 3 Char"/>
    <w:link w:val="616"/>
    <w:uiPriority w:val="9"/>
    <w:rPr>
      <w:rFonts w:ascii="Arial" w:hAnsi="Arial" w:cs="Arial" w:eastAsia="Arial"/>
      <w:sz w:val="30"/>
      <w:szCs w:val="30"/>
    </w:rPr>
  </w:style>
  <w:style w:type="character" w:styleId="456">
    <w:name w:val="Heading 4 Char"/>
    <w:link w:val="617"/>
    <w:uiPriority w:val="9"/>
    <w:rPr>
      <w:rFonts w:ascii="Arial" w:hAnsi="Arial" w:cs="Arial" w:eastAsia="Arial"/>
      <w:b/>
      <w:bCs/>
      <w:sz w:val="26"/>
      <w:szCs w:val="26"/>
    </w:rPr>
  </w:style>
  <w:style w:type="character" w:styleId="457">
    <w:name w:val="Heading 5 Char"/>
    <w:link w:val="618"/>
    <w:uiPriority w:val="9"/>
    <w:rPr>
      <w:rFonts w:ascii="Arial" w:hAnsi="Arial" w:cs="Arial" w:eastAsia="Arial"/>
      <w:b/>
      <w:bCs/>
      <w:sz w:val="24"/>
      <w:szCs w:val="24"/>
    </w:rPr>
  </w:style>
  <w:style w:type="character" w:styleId="458">
    <w:name w:val="Heading 6 Char"/>
    <w:link w:val="619"/>
    <w:uiPriority w:val="9"/>
    <w:rPr>
      <w:rFonts w:ascii="Arial" w:hAnsi="Arial" w:cs="Arial" w:eastAsia="Arial"/>
      <w:b/>
      <w:bCs/>
      <w:sz w:val="22"/>
      <w:szCs w:val="22"/>
    </w:rPr>
  </w:style>
  <w:style w:type="character" w:styleId="459">
    <w:name w:val="Heading 7 Char"/>
    <w:link w:val="6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0">
    <w:name w:val="Heading 8 Char"/>
    <w:link w:val="621"/>
    <w:uiPriority w:val="9"/>
    <w:rPr>
      <w:rFonts w:ascii="Arial" w:hAnsi="Arial" w:cs="Arial" w:eastAsia="Arial"/>
      <w:i/>
      <w:iCs/>
      <w:sz w:val="22"/>
      <w:szCs w:val="22"/>
    </w:rPr>
  </w:style>
  <w:style w:type="character" w:styleId="461">
    <w:name w:val="Heading 9 Char"/>
    <w:link w:val="622"/>
    <w:uiPriority w:val="9"/>
    <w:rPr>
      <w:rFonts w:ascii="Arial" w:hAnsi="Arial" w:cs="Arial" w:eastAsia="Arial"/>
      <w:i/>
      <w:iCs/>
      <w:sz w:val="21"/>
      <w:szCs w:val="21"/>
    </w:rPr>
  </w:style>
  <w:style w:type="character" w:styleId="462">
    <w:name w:val="Title Char"/>
    <w:link w:val="631"/>
    <w:uiPriority w:val="10"/>
    <w:rPr>
      <w:sz w:val="48"/>
      <w:szCs w:val="48"/>
    </w:rPr>
  </w:style>
  <w:style w:type="character" w:styleId="463">
    <w:name w:val="Subtitle Char"/>
    <w:link w:val="629"/>
    <w:uiPriority w:val="11"/>
    <w:rPr>
      <w:sz w:val="24"/>
      <w:szCs w:val="24"/>
    </w:rPr>
  </w:style>
  <w:style w:type="character" w:styleId="464">
    <w:name w:val="Quote Char"/>
    <w:link w:val="628"/>
    <w:uiPriority w:val="29"/>
    <w:rPr>
      <w:i/>
    </w:rPr>
  </w:style>
  <w:style w:type="character" w:styleId="465">
    <w:name w:val="Intense Quote Char"/>
    <w:link w:val="630"/>
    <w:uiPriority w:val="30"/>
    <w:rPr>
      <w:i/>
    </w:rPr>
  </w:style>
  <w:style w:type="character" w:styleId="466">
    <w:name w:val="Header Char"/>
    <w:link w:val="626"/>
    <w:uiPriority w:val="99"/>
  </w:style>
  <w:style w:type="character" w:styleId="467">
    <w:name w:val="Footer Char"/>
    <w:link w:val="625"/>
    <w:uiPriority w:val="99"/>
  </w:style>
  <w:style w:type="paragraph" w:styleId="468">
    <w:name w:val="Caption"/>
    <w:basedOn w:val="613"/>
    <w:next w:val="6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9">
    <w:name w:val="Caption Char"/>
    <w:basedOn w:val="468"/>
    <w:link w:val="625"/>
    <w:uiPriority w:val="99"/>
  </w:style>
  <w:style w:type="table" w:styleId="470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3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4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5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7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9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0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01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02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03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04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5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6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7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8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9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0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11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12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13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14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5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6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7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8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9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34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5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6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7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8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9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0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7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8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9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0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1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62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63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64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5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6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7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8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9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70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71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72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73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74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75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6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7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8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9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0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1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2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3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4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5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6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7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8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9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0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91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92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93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94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95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6">
    <w:name w:val="Hyperlink"/>
    <w:uiPriority w:val="99"/>
    <w:unhideWhenUsed/>
    <w:rPr>
      <w:color w:val="0000FF" w:themeColor="hyperlink"/>
      <w:u w:val="single"/>
    </w:rPr>
  </w:style>
  <w:style w:type="paragraph" w:styleId="597">
    <w:name w:val="footnote text"/>
    <w:basedOn w:val="613"/>
    <w:link w:val="598"/>
    <w:uiPriority w:val="99"/>
    <w:semiHidden/>
    <w:unhideWhenUsed/>
    <w:rPr>
      <w:sz w:val="18"/>
    </w:rPr>
    <w:pPr>
      <w:spacing w:lineRule="auto" w:line="240" w:after="40"/>
    </w:pPr>
  </w:style>
  <w:style w:type="character" w:styleId="598">
    <w:name w:val="Footnote Text Char"/>
    <w:link w:val="597"/>
    <w:uiPriority w:val="99"/>
    <w:rPr>
      <w:sz w:val="18"/>
    </w:rPr>
  </w:style>
  <w:style w:type="character" w:styleId="599">
    <w:name w:val="footnote reference"/>
    <w:uiPriority w:val="99"/>
    <w:unhideWhenUsed/>
    <w:rPr>
      <w:vertAlign w:val="superscript"/>
    </w:rPr>
  </w:style>
  <w:style w:type="paragraph" w:styleId="600">
    <w:name w:val="endnote text"/>
    <w:basedOn w:val="613"/>
    <w:link w:val="601"/>
    <w:uiPriority w:val="99"/>
    <w:semiHidden/>
    <w:unhideWhenUsed/>
    <w:rPr>
      <w:sz w:val="20"/>
    </w:rPr>
    <w:pPr>
      <w:spacing w:lineRule="auto" w:line="240" w:after="0"/>
    </w:pPr>
  </w:style>
  <w:style w:type="character" w:styleId="601">
    <w:name w:val="Endnote Text Char"/>
    <w:link w:val="600"/>
    <w:uiPriority w:val="99"/>
    <w:rPr>
      <w:sz w:val="20"/>
    </w:rPr>
  </w:style>
  <w:style w:type="character" w:styleId="602">
    <w:name w:val="endnote reference"/>
    <w:uiPriority w:val="99"/>
    <w:semiHidden/>
    <w:unhideWhenUsed/>
    <w:rPr>
      <w:vertAlign w:val="superscript"/>
    </w:rPr>
  </w:style>
  <w:style w:type="paragraph" w:styleId="603">
    <w:name w:val="toc 1"/>
    <w:basedOn w:val="613"/>
    <w:next w:val="613"/>
    <w:uiPriority w:val="39"/>
    <w:unhideWhenUsed/>
    <w:pPr>
      <w:ind w:left="0" w:right="0" w:firstLine="0"/>
      <w:spacing w:after="57"/>
    </w:pPr>
  </w:style>
  <w:style w:type="paragraph" w:styleId="604">
    <w:name w:val="toc 2"/>
    <w:basedOn w:val="613"/>
    <w:next w:val="613"/>
    <w:uiPriority w:val="39"/>
    <w:unhideWhenUsed/>
    <w:pPr>
      <w:ind w:left="283" w:right="0" w:firstLine="0"/>
      <w:spacing w:after="57"/>
    </w:pPr>
  </w:style>
  <w:style w:type="paragraph" w:styleId="605">
    <w:name w:val="toc 3"/>
    <w:basedOn w:val="613"/>
    <w:next w:val="613"/>
    <w:uiPriority w:val="39"/>
    <w:unhideWhenUsed/>
    <w:pPr>
      <w:ind w:left="567" w:right="0" w:firstLine="0"/>
      <w:spacing w:after="57"/>
    </w:pPr>
  </w:style>
  <w:style w:type="paragraph" w:styleId="606">
    <w:name w:val="toc 4"/>
    <w:basedOn w:val="613"/>
    <w:next w:val="613"/>
    <w:uiPriority w:val="39"/>
    <w:unhideWhenUsed/>
    <w:pPr>
      <w:ind w:left="850" w:right="0" w:firstLine="0"/>
      <w:spacing w:after="57"/>
    </w:pPr>
  </w:style>
  <w:style w:type="paragraph" w:styleId="607">
    <w:name w:val="toc 5"/>
    <w:basedOn w:val="613"/>
    <w:next w:val="613"/>
    <w:uiPriority w:val="39"/>
    <w:unhideWhenUsed/>
    <w:pPr>
      <w:ind w:left="1134" w:right="0" w:firstLine="0"/>
      <w:spacing w:after="57"/>
    </w:pPr>
  </w:style>
  <w:style w:type="paragraph" w:styleId="608">
    <w:name w:val="toc 6"/>
    <w:basedOn w:val="613"/>
    <w:next w:val="613"/>
    <w:uiPriority w:val="39"/>
    <w:unhideWhenUsed/>
    <w:pPr>
      <w:ind w:left="1417" w:right="0" w:firstLine="0"/>
      <w:spacing w:after="57"/>
    </w:pPr>
  </w:style>
  <w:style w:type="paragraph" w:styleId="609">
    <w:name w:val="toc 7"/>
    <w:basedOn w:val="613"/>
    <w:next w:val="613"/>
    <w:uiPriority w:val="39"/>
    <w:unhideWhenUsed/>
    <w:pPr>
      <w:ind w:left="1701" w:right="0" w:firstLine="0"/>
      <w:spacing w:after="57"/>
    </w:pPr>
  </w:style>
  <w:style w:type="paragraph" w:styleId="610">
    <w:name w:val="toc 8"/>
    <w:basedOn w:val="613"/>
    <w:next w:val="613"/>
    <w:uiPriority w:val="39"/>
    <w:unhideWhenUsed/>
    <w:pPr>
      <w:ind w:left="1984" w:right="0" w:firstLine="0"/>
      <w:spacing w:after="57"/>
    </w:pPr>
  </w:style>
  <w:style w:type="paragraph" w:styleId="611">
    <w:name w:val="toc 9"/>
    <w:basedOn w:val="613"/>
    <w:next w:val="613"/>
    <w:uiPriority w:val="39"/>
    <w:unhideWhenUsed/>
    <w:pPr>
      <w:ind w:left="2268" w:right="0" w:firstLine="0"/>
      <w:spacing w:after="57"/>
    </w:pPr>
  </w:style>
  <w:style w:type="paragraph" w:styleId="612">
    <w:name w:val="TOC Heading"/>
    <w:uiPriority w:val="39"/>
    <w:unhideWhenUsed/>
  </w:style>
  <w:style w:type="paragraph" w:styleId="613" w:default="1">
    <w:name w:val="Normal"/>
    <w:qFormat/>
  </w:style>
  <w:style w:type="paragraph" w:styleId="614">
    <w:name w:val="Heading 1"/>
    <w:basedOn w:val="613"/>
    <w:next w:val="613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15">
    <w:name w:val="Heading 2"/>
    <w:basedOn w:val="613"/>
    <w:next w:val="613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6">
    <w:name w:val="Heading 3"/>
    <w:basedOn w:val="613"/>
    <w:next w:val="61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7">
    <w:name w:val="Heading 4"/>
    <w:basedOn w:val="613"/>
    <w:next w:val="613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8">
    <w:name w:val="Heading 5"/>
    <w:basedOn w:val="613"/>
    <w:next w:val="613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9">
    <w:name w:val="Heading 6"/>
    <w:basedOn w:val="613"/>
    <w:next w:val="613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20">
    <w:name w:val="Heading 7"/>
    <w:basedOn w:val="613"/>
    <w:next w:val="613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21">
    <w:name w:val="Heading 8"/>
    <w:basedOn w:val="613"/>
    <w:next w:val="613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22">
    <w:name w:val="Heading 9"/>
    <w:basedOn w:val="613"/>
    <w:next w:val="613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Footer"/>
    <w:basedOn w:val="61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6">
    <w:name w:val="Header"/>
    <w:basedOn w:val="61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7">
    <w:name w:val="No Spacing"/>
    <w:qFormat/>
    <w:uiPriority w:val="1"/>
    <w:pPr>
      <w:spacing w:lineRule="auto" w:line="240" w:after="0"/>
    </w:pPr>
  </w:style>
  <w:style w:type="paragraph" w:styleId="628">
    <w:name w:val="Quote"/>
    <w:basedOn w:val="613"/>
    <w:next w:val="613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9">
    <w:name w:val="Subtitle"/>
    <w:basedOn w:val="613"/>
    <w:next w:val="613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30">
    <w:name w:val="Intense Quote"/>
    <w:basedOn w:val="613"/>
    <w:next w:val="613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31">
    <w:name w:val="Title"/>
    <w:basedOn w:val="613"/>
    <w:next w:val="613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32">
    <w:name w:val="List Paragraph"/>
    <w:basedOn w:val="613"/>
    <w:qFormat/>
    <w:uiPriority w:val="34"/>
    <w:pPr>
      <w:contextualSpacing w:val="true"/>
      <w:ind w:left="720"/>
    </w:pPr>
  </w:style>
  <w:style w:type="character" w:styleId="633" w:default="1">
    <w:name w:val="Default Paragraph Font"/>
    <w:uiPriority w:val="1"/>
    <w:semiHidden/>
    <w:unhideWhenUsed/>
  </w:style>
  <w:style w:type="paragraph" w:styleId="634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2023-07-10T07:17:25Z</dcterms:modified>
</cp:coreProperties>
</file>