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Анализ защиты индивидуальных итоговых проектов в 11 классе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МБОУ «СОШ №5»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2021-2023 учебный год.</w:t>
      </w: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На основании приказа МБОУ «СОШ №5» №66-А п. 11 от 03.09.2021 года «Об организации проектно-исследовательской деятельности обучающихся 10 класса в 2021-2023 учебном году» была регламентирована деятельнос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ть классного руководителя и учителей-предметников по организации проектно-исследовательской деятельности в 10 классе. До 20 сентября 2021 года учителя-предметники предложили темы работ, а обучающиеся осуществили выбор интересующей их проектной тематики.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представленной классным руководителем (Григорьевой Е.В.) информации по выбору тем распределение проектных работ произошло следующим образом: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Число обучающихся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Астрономия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ED7D31" w:themeColor="accent2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ED7D31" w:themeColor="accent2"/>
                <w:sz w:val="24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ED7D31" w:themeColor="accent2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ED7D31" w:themeColor="accent2"/>
                <w:sz w:val="24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76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На основании приказа МБОУ «СОШ №5» №73-А п.3 от 01.10.2021 год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а «О тьюторском сопровождении индивидуальных итоговых проектов на уровне среднего общего образования в 2021-2023 учебном году и организации деятельности по их реализации» за каждым обучающимся был закреплён тьютор из числа педагогических работников школы: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4818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Тьютор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Астрономия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Индивидуальные итоговые проекты в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ыполня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лись под кураторством данных учителей в период октябрь 2021 -февраль 2023 года. В апреле 2023 года учителями-предметниками в урочной деятельности была организована предварительная защита проектов с целью выявления уровня готовности и корректировки проектов.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приказу МБОУ «СОШ №5» №31-А п.4 от 30.03.2023 года «Об организации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защиты индивидуальных проектов обучающихся 11 класса в 2022-2023 учебном году» в период времени с 10.04.2023 по 17.04.2023 года была организована защита индивидуальных проектов обучающихся 11 класса во внеурочное время согласно графику. В ходе защит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 выявлено, что практически все обучаю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щиеся успешно справились с процедурой защиты.Комиссиям по оцениванию проектных работ было представлено 8 работ.</w:t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В ходе процедуры защиты проектных работ обучающиеся использовали презентации, демонстрировали буклеты, продукты реализации своих индивидуальных проектов..Регламент защиты соблюдался.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Итоги защиты индивидуальных итоговых проектов на 17.04.2023 г.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>
        <w:trPr/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6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4"/>
            <w:tcW w:w="63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Результаты защиты проектной работы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Низкий уровень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Базовый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Повышенный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Высокий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11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Успешно защитили индивидуальные итоговые проекты 8 обучающихся(100%) из 8. Из них все 8 прошли защиту на высоком уровне.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Общая успеваемость составила -100%, качество знаний-100%.</w:t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Предложения: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1) Информацию принять к сведению.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2) Ознакомить обучающихся и их родителей (законных представителей) с итогами проектной деятельности за 2021-2023 учебный год.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3) Учителям-предметникам при выборе тем последующих проектов учитывать возможность практического применения результатов проектов—продукта проектной деятельности.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Зам. директора по УВР:                            Цымбал Т.Ю.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2023-05-31T11:12:47Z</dcterms:modified>
</cp:coreProperties>
</file>