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тестирования обучающихся 8-9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ФГ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№5»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учебный год.</w:t>
      </w:r>
      <w:r>
        <w:rPr>
          <w:b/>
        </w:rPr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</w:rPr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: определение уровня качества ЗУН обучающихся по ФГ; динамика результатов по формированию ФГ в сравнении с входным тестированием (октябрь 2022 года).</w:t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Сроки контроля</w:t>
      </w:r>
      <w:r>
        <w:rPr>
          <w:rFonts w:ascii="Times New Roman" w:hAnsi="Times New Roman" w:cs="Times New Roman"/>
          <w:sz w:val="24"/>
          <w:szCs w:val="24"/>
        </w:rPr>
        <w:t xml:space="preserve">: 17.04.2023-28.04.2023 г..</w:t>
      </w:r>
      <w:r/>
    </w:p>
    <w:p>
      <w:pPr>
        <w:ind w:left="-28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Форма контроля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региональные диагностические работы в электронном формате.</w:t>
      </w:r>
      <w:r>
        <w:rPr>
          <w:color w:val="auto"/>
        </w:rPr>
      </w:r>
      <w:r/>
    </w:p>
    <w:p>
      <w:pPr>
        <w:ind w:left="-283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рамках реализации регионального плана мероприятий ,направленных на формирование и оценку функциональной грамотности обучающихся образовательных организаций, на 2022-2023 учебный год в период с 17.04.2023 года по 28.04.2023 года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8-9 классах ш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колы были пр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ведены диагностические работы по оценке функциональной грамотности по направлениям: читательская, естественно-научная и математическая грамотность. В ходе данного итогового мониторинга выявлен общий уровень  ФГ обучающихся на конец 2022-2023 учебного года.</w:t>
      </w:r>
      <w:r>
        <w:rPr>
          <w:color w:val="auto"/>
        </w:rPr>
      </w:r>
      <w:r/>
    </w:p>
    <w:p>
      <w:pPr>
        <w:ind w:left="-283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Результаты итогового тестирования:</w:t>
      </w:r>
      <w:r>
        <w:rPr>
          <w:color w:val="auto"/>
        </w:rPr>
      </w:r>
      <w:r/>
    </w:p>
    <w:p>
      <w:pPr>
        <w:pStyle w:val="631"/>
        <w:numPr>
          <w:ilvl w:val="0"/>
          <w:numId w:val="1"/>
        </w:numPr>
        <w:ind w:left="-283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Читательская грамотность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18.04.2023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(73,3%)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(9,1%)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(9,1%)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(81,8%)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б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18.04.2023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 (94,7%)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(33,3%)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6(33,3%)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(33,3%)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66,6%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18.04.2023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16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(75,0%)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(50,0%)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50,0%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б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18.04.2023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(66,7%)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(10%)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(50,0%)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(40,0%)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90,0%</w:t>
            </w:r>
            <w:r>
              <w:rPr>
                <w:color w:val="auto"/>
              </w:rPr>
            </w:r>
            <w:r/>
          </w:p>
        </w:tc>
      </w:tr>
    </w:tbl>
    <w:p>
      <w:pPr>
        <w:ind w:left="-283" w:right="0" w:firstLine="0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высокие показатели успеваемости и качества знаний по читатель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ской грамотности.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«Читательская грамотность»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11.10.2022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18.04.2023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16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 (93,8%)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11(73,3%)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(13,3%)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 (9,1%)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(33,3%)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 (9,1%)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(53,3%)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9 (81,8%)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86,7%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11.10.2022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18.04.2023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19 (100%)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18 (94,7%)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 (26,3%)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6 (33,3%)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11(57,9%)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6 (33,3%)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 (15,8%)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6 (33,3%)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73,7%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66,6%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11.10.2022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18.04.2023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14 (93,3%)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12 (75,0%)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 (42,9%)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6 (50,0%)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 (42,9%)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3 (25,0%)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(14,3%)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3 (25,0%)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57,1%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50,0%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11.10.2022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18.04.2023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 (78,6%)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10 (66,7%)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 (9,1%)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 (10,0%)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 (54,5%)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5 (50,0%)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 (36,4%)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4 (40,0%)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90,9%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90,9%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90,0%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jc w:val="left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       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По результатам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диагностики видно, что идёт снижение результатов в сравнен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ии с показателями диагностики октября 2022 года, за исключением результатов в 8 а классе .В 8 а кла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ссе (учитель Бондарева С.Н.) прирост составил 4,2% качества знаний. В 8 б классе (учитель Железнова С.М.) снижение составило 7,1%; в 9 а классе (учитель Григорьева Е.В.) снижение составило7,1%; в 9 б классе (учитель Бондарева С.Н.) снижение составило 0,9%.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2. Математическая грамотность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а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(80,0%)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(25,0%)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75,0%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50,0%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б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17 (89,5%)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(17,6%)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 (41,2%)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4(23,5%)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(17,6%)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82,4%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41,1%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а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 (81,3%)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 (53,8%)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(23,1%)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(23,1%)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46,2%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б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(60,0%)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 (77,8%)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(22,2%)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22,2%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color w:val="auto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«Математическая грамотность»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r/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20.04.2023</w:t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 (100%)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12 (80,0%)</w:t>
            </w:r>
            <w:r>
              <w:rPr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 (25%)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(25,0%)</w:t>
            </w:r>
            <w:r>
              <w:rPr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7(43,75%)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(25,0%)</w:t>
            </w:r>
            <w:r>
              <w:rPr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 (25%)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(25,0%)</w:t>
            </w:r>
            <w:r>
              <w:rPr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 (6,25%)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(25,0%)</w:t>
            </w:r>
            <w:r>
              <w:rPr>
                <w:sz w:val="24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75,0%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75,0%</w:t>
            </w:r>
            <w:r>
              <w:rPr>
                <w:sz w:val="24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31,3%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50,0%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б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19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 (94,7%)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17 (89,5%)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(11,1%)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(17,6%)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9 (50%)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7 (41,2%)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7(38,9%)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4 (23,5%)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(17,6%)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88,9%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82,4%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38,9%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41,1%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 (86,7%)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13 (81,3%)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 (53,8%)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7 (53,8%)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 (23,1%)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(23,1%)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 (23,1%)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 (23,1%)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100%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46,2%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46,2%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б</w:t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20.04.2023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14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 (78,6%)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9 (60,0%)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 (54,5%)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7 (77,8%)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 (45,5%)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 (22,2%)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100%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45,5%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22,2%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По результатам диагностики видно, что произошло повышение качества знаний в 8 классах (учитель Гайдукова Г.В.). В 8 а классе прирост составил 18,7%; в 8 б классе приро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ст составляет 2,2%. В 9-х классах результаты не улучшились. В 9 а классе (учитель Лескова О.В.) показатели остались без изменений; в 9 б классе (учитель Васильева О.В.) произошло существенное снижение показателей —снижение качества знаний составляет 23, 3%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3. Естественно-научная грамотность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color w:val="FF0000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none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highlight w:val="none"/>
              </w:rPr>
              <w:t xml:space="preserve">8 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25.04.2023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(73,3%)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(18,2%)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(45,5%)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4(36,4%)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81,8%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б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25.04.2023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19 (100%)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1(5,3%)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 (0%)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 (10,5%)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 (42,1%)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 (42,1%)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94,7%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84,2%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26.04.2023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(87,5%)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(35,7%)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(64,3%)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б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26.04.2023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(71,4%)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(10,0%)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(20,0%)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(10,0%)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(60,0%)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70,0%</w:t>
            </w:r>
            <w:r>
              <w:rPr>
                <w:color w:val="auto"/>
              </w:rPr>
            </w:r>
            <w:r/>
          </w:p>
        </w:tc>
      </w:tr>
    </w:tbl>
    <w:p>
      <w:pPr>
        <w:ind w:left="-283" w:right="0" w:firstLine="0"/>
        <w:jc w:val="both"/>
        <w:rPr>
          <w:color w:val="auto"/>
        </w:rPr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высокие показатели успеваемости и качества знаний по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естественно-научной грамотности.</w:t>
      </w:r>
      <w:r>
        <w:rPr>
          <w:color w:val="auto"/>
          <w:sz w:val="24"/>
          <w:szCs w:val="24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color w:val="auto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«Естественно-научная грамотность»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2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25.04.2023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 (100%)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11 (73,3%)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(12,5%)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3(18,75%)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 (18,2%)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8 (50%)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5 (45,5%)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3(18,75%)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4 (36,4%)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87,5%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68,75%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81,8%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б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18.10.2022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25.04.2023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19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17 (94,7%)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19 (100%)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 (5,9%)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 (5,3%)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 (29,4%)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 (10,5%)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4(23,5%)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 (42,1%)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7 (41,2%)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 (42,1%)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94,1%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94,7%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64,1%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84,2%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20.10.2022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26.04.2023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13 (86,7%)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14 (87,5%)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(15,4%)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 (30,8%)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(15,4%)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 (15,4%)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5 (35,7%)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 (23,1%)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9 (64,3%)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53,8%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38,5%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б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20.10.2022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26.04.2023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14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12 (85,7%)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10 (71,4%)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 (8,3%)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 (8,3%)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 (10,0%)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6 (50%)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 (20,0%)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4 (33,3%)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 (10,0%)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 (0%)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6 (60,0%)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83,3%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90,0 %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33,3%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70,0%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szCs w:val="24"/>
          <w:highlight w:val="none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По результатам диагностики видно, что во всех классах идёт рост успеваемости и качества знаний.(работающие учителя Козолуп Т.Д.,Цымбал Т.Ю.) Прирост качества знаний составил в 9 а—13,1%; в 9 б—20,1%; в 9 а—61,5%; в 9 б—36,7%. Такие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показатели объясняются регулярной работой учителей-предметников по решению заданий по ФГ, а так же тем, что в представленном варианте для контроля знаний было много заданий экологической направленности, решение которых для ребят не вызывает большого труда.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Вывод: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В 8-9 классах в 2022-2023 учебном году обучается 64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а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б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а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б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(73,3%)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 из которых 2- по болезни; 2- по уважительным причинам.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 (94,7%)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прошёл диагностику 1 обучающийся по уважительным причинам.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(75,0%)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обучающихся, из которых 1 обучающийся 7 вида; 1-обучается на дому; 1-по уважительным причинам; 1-по болезни.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(66,7%)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5 обучающихся, из которых 1 обучающийся (обучающаяся 8 вида); 1 обучающийся по неуважительной причине; 2 обучающийся по болезни; 1-обучается на дому.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(80,0%)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обучающихся, из которых 1-по болезни; 2-по уважительным причинам.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17 (89,5%)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2 обучающаяся, из которых 1-по болезни; 1-по уважительным причинам.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 (81,3%)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обучающихся, из которых: 1 обучающийся (обучающийся 7 вида); 1 обучающийся по болезни; 1-обучается на дому.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(60,0%)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6 обучающихся, из которых: 1 обучающийся (обучающаяся 8 вида); 1 обучающийся по неуважительной причине; 1 -обучается на дому; 3- по болезни.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Естественно-научная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(73,3%)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обучающихся, из которых 1-по болезни; 3-по уважительным причинам.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(100%)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(87,5%)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2 обучающихся, из которых 1 обучающийся (обучающийся 7 вида); 1 обучается на дому.</w:t>
            </w:r>
            <w:r>
              <w:rPr>
                <w:color w:val="auto"/>
              </w:rPr>
            </w:r>
            <w:r/>
          </w:p>
        </w:tc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(71,4%)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обучающихся, из которых 1 обучающийся (обучающаяся 8 вида); 1 обучающийся по неуважительной причине; 2-по болезни.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По результатам мониторинга видно, что общая успеваемость и качество знаний по направлениям следующие: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Направление функциональной грамотности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Общая 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Общее качество знаний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Динамика показателей в сравнении с периодом октябрь 2022 года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Читательская грамотность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100 %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74,4%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97,7%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→100%</m:t>
              </m:r>
            </m:oMath>
            <w:r>
              <w:rPr>
                <w:color w:val="auto"/>
                <w:sz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  <w:t xml:space="preserve">Качество знаний 77,1%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74,4%</m:t>
              </m:r>
            </m:oMath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Математическая грамотность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89,4%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39,9%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Cambria Math" w:hAnsi="Cambria Math" w:cs="Cambria Math" w:eastAsia="Cambria Math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90,98%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89,4%</m:t>
              </m:r>
            </m:oMath>
            <w:r>
              <w:rPr>
                <w:color w:val="auto"/>
                <w:sz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 40,5%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39,9%</m:t>
              </m:r>
            </m:oMath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Естественно-научная грамотность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96,2%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84,0%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Cambria Math" w:hAnsi="Cambria Math" w:cs="Cambria Math" w:eastAsia="Cambria Math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79,7%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89,4%</m:t>
              </m:r>
            </m:oMath>
            <w:r>
              <w:rPr>
                <w:color w:val="auto"/>
                <w:sz w:val="24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</w:t>
            </w:r>
            <w:r>
              <w:rPr>
                <w:color w:val="auto"/>
                <w:sz w:val="24"/>
              </w:rPr>
              <w:t xml:space="preserve"> 51,2%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84,0%</m:t>
              </m:r>
            </m:oMath>
            <w:r>
              <w:rPr>
                <w:color w:val="auto"/>
                <w:sz w:val="24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Динамика результатов диагностики положительная по направлению естественно-научной грамотности. По читательской и математической грамотности идёт снижение результатов.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Предложения:</w:t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1) Информацию принять к сведению.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2) Провести анализ предложенных диагностических работ по ФГ для обучающихся 8-9 классов.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3) Ознакомить родителей (законных представителей) обучающихся с результатами итогового тестирования по ФГ.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4) Учителям-предметникам на методических объединениях рассмотреть данный вопрос, выявить проблемы повышения результативности формирования ФГ по направлениям: читательская, математическая грамотность.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5) Перед каждым учителем поставить задачу по включению в урок по всем предметам заданий, направленных на развитие вариативности мышления обучающихся и способности применять знания в новой ситуации.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6) Включить в планы работы МО учителей разделы по повышению качества подготовки обучающихся по ФГ.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7) Создать условия по повышению уровня ФГ обучающихся через оптимизацию некоторых компонентов образовательных программ.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8) Усилить контроль за уровнем преподавания отдельных учителей, чьи ученики показали низкие результаты в мониторинге ФГ.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9) Создать условия для повышения компетентности педагогических работников по ФГ обучающихся через прохождение курсовой подготовки, проведение открытых уроков, обучающие семинары.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Зам. директора по УВР:                                                       Цымбал Т.Ю.</w:t>
      </w:r>
      <w:r>
        <w:rPr>
          <w:color w:val="auto"/>
        </w:rPr>
      </w:r>
      <w:r/>
    </w:p>
    <w:sectPr>
      <w:footnotePr/>
      <w:endnotePr/>
      <w:type w:val="nextPage"/>
      <w:pgSz w:w="16838" w:h="11906" w:orient="landscape"/>
      <w:pgMar w:top="709" w:right="1134" w:bottom="850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1">
    <w:name w:val="Heading 1"/>
    <w:basedOn w:val="627"/>
    <w:next w:val="627"/>
    <w:link w:val="45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2">
    <w:name w:val="Heading 1 Char"/>
    <w:basedOn w:val="628"/>
    <w:link w:val="451"/>
    <w:uiPriority w:val="9"/>
    <w:rPr>
      <w:rFonts w:ascii="Arial" w:hAnsi="Arial" w:cs="Arial" w:eastAsia="Arial"/>
      <w:sz w:val="40"/>
      <w:szCs w:val="40"/>
    </w:rPr>
  </w:style>
  <w:style w:type="paragraph" w:styleId="453">
    <w:name w:val="Heading 2"/>
    <w:basedOn w:val="627"/>
    <w:next w:val="627"/>
    <w:link w:val="45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4">
    <w:name w:val="Heading 2 Char"/>
    <w:basedOn w:val="628"/>
    <w:link w:val="453"/>
    <w:uiPriority w:val="9"/>
    <w:rPr>
      <w:rFonts w:ascii="Arial" w:hAnsi="Arial" w:cs="Arial" w:eastAsia="Arial"/>
      <w:sz w:val="34"/>
    </w:rPr>
  </w:style>
  <w:style w:type="paragraph" w:styleId="455">
    <w:name w:val="Heading 3"/>
    <w:basedOn w:val="627"/>
    <w:next w:val="627"/>
    <w:link w:val="4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6">
    <w:name w:val="Heading 3 Char"/>
    <w:basedOn w:val="628"/>
    <w:link w:val="455"/>
    <w:uiPriority w:val="9"/>
    <w:rPr>
      <w:rFonts w:ascii="Arial" w:hAnsi="Arial" w:cs="Arial" w:eastAsia="Arial"/>
      <w:sz w:val="30"/>
      <w:szCs w:val="30"/>
    </w:rPr>
  </w:style>
  <w:style w:type="paragraph" w:styleId="457">
    <w:name w:val="Heading 4"/>
    <w:basedOn w:val="627"/>
    <w:next w:val="627"/>
    <w:link w:val="4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8">
    <w:name w:val="Heading 4 Char"/>
    <w:basedOn w:val="628"/>
    <w:link w:val="457"/>
    <w:uiPriority w:val="9"/>
    <w:rPr>
      <w:rFonts w:ascii="Arial" w:hAnsi="Arial" w:cs="Arial" w:eastAsia="Arial"/>
      <w:b/>
      <w:bCs/>
      <w:sz w:val="26"/>
      <w:szCs w:val="26"/>
    </w:rPr>
  </w:style>
  <w:style w:type="paragraph" w:styleId="459">
    <w:name w:val="Heading 5"/>
    <w:basedOn w:val="627"/>
    <w:next w:val="627"/>
    <w:link w:val="46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0">
    <w:name w:val="Heading 5 Char"/>
    <w:basedOn w:val="628"/>
    <w:link w:val="459"/>
    <w:uiPriority w:val="9"/>
    <w:rPr>
      <w:rFonts w:ascii="Arial" w:hAnsi="Arial" w:cs="Arial" w:eastAsia="Arial"/>
      <w:b/>
      <w:bCs/>
      <w:sz w:val="24"/>
      <w:szCs w:val="24"/>
    </w:rPr>
  </w:style>
  <w:style w:type="paragraph" w:styleId="461">
    <w:name w:val="Heading 6"/>
    <w:basedOn w:val="627"/>
    <w:next w:val="627"/>
    <w:link w:val="4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2">
    <w:name w:val="Heading 6 Char"/>
    <w:basedOn w:val="628"/>
    <w:link w:val="461"/>
    <w:uiPriority w:val="9"/>
    <w:rPr>
      <w:rFonts w:ascii="Arial" w:hAnsi="Arial" w:cs="Arial" w:eastAsia="Arial"/>
      <w:b/>
      <w:bCs/>
      <w:sz w:val="22"/>
      <w:szCs w:val="22"/>
    </w:rPr>
  </w:style>
  <w:style w:type="paragraph" w:styleId="463">
    <w:name w:val="Heading 7"/>
    <w:basedOn w:val="627"/>
    <w:next w:val="627"/>
    <w:link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4">
    <w:name w:val="Heading 7 Char"/>
    <w:basedOn w:val="628"/>
    <w:link w:val="4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5">
    <w:name w:val="Heading 8"/>
    <w:basedOn w:val="627"/>
    <w:next w:val="627"/>
    <w:link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6">
    <w:name w:val="Heading 8 Char"/>
    <w:basedOn w:val="628"/>
    <w:link w:val="465"/>
    <w:uiPriority w:val="9"/>
    <w:rPr>
      <w:rFonts w:ascii="Arial" w:hAnsi="Arial" w:cs="Arial" w:eastAsia="Arial"/>
      <w:i/>
      <w:iCs/>
      <w:sz w:val="22"/>
      <w:szCs w:val="22"/>
    </w:rPr>
  </w:style>
  <w:style w:type="paragraph" w:styleId="467">
    <w:name w:val="Heading 9"/>
    <w:basedOn w:val="627"/>
    <w:next w:val="62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8">
    <w:name w:val="Heading 9 Char"/>
    <w:basedOn w:val="628"/>
    <w:link w:val="467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7"/>
    <w:next w:val="627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8"/>
    <w:link w:val="470"/>
    <w:uiPriority w:val="10"/>
    <w:rPr>
      <w:sz w:val="48"/>
      <w:szCs w:val="48"/>
    </w:rPr>
  </w:style>
  <w:style w:type="paragraph" w:styleId="472">
    <w:name w:val="Subtitle"/>
    <w:basedOn w:val="627"/>
    <w:next w:val="627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8"/>
    <w:link w:val="472"/>
    <w:uiPriority w:val="11"/>
    <w:rPr>
      <w:sz w:val="24"/>
      <w:szCs w:val="24"/>
    </w:rPr>
  </w:style>
  <w:style w:type="paragraph" w:styleId="474">
    <w:name w:val="Quote"/>
    <w:basedOn w:val="627"/>
    <w:next w:val="627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7"/>
    <w:next w:val="627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7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8"/>
    <w:link w:val="478"/>
    <w:uiPriority w:val="99"/>
  </w:style>
  <w:style w:type="paragraph" w:styleId="480">
    <w:name w:val="Footer"/>
    <w:basedOn w:val="627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8"/>
    <w:link w:val="480"/>
    <w:uiPriority w:val="99"/>
  </w:style>
  <w:style w:type="paragraph" w:styleId="482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Table Grid Light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>
    <w:name w:val="Plain Table 1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2"/>
    <w:basedOn w:val="6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9">
    <w:name w:val="Plain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Plain Table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1">
    <w:name w:val="Grid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3">
    <w:name w:val="Grid Table 4 - Accent 1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4">
    <w:name w:val="Grid Table 4 - Accent 2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5">
    <w:name w:val="Grid Table 4 - Accent 3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6">
    <w:name w:val="Grid Table 4 - Accent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7">
    <w:name w:val="Grid Table 4 - Accent 5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8">
    <w:name w:val="Grid Table 4 - Accent 6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9">
    <w:name w:val="Grid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6">
    <w:name w:val="Grid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7">
    <w:name w:val="Grid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8">
    <w:name w:val="Grid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9">
    <w:name w:val="Grid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0">
    <w:name w:val="Grid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1">
    <w:name w:val="Grid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8">
    <w:name w:val="List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9">
    <w:name w:val="List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0">
    <w:name w:val="List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1">
    <w:name w:val="List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2">
    <w:name w:val="List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3">
    <w:name w:val="List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4">
    <w:name w:val="List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6">
    <w:name w:val="List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7">
    <w:name w:val="List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8">
    <w:name w:val="List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9">
    <w:name w:val="List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0">
    <w:name w:val="List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1">
    <w:name w:val="List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2">
    <w:name w:val="List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3">
    <w:name w:val="List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84">
    <w:name w:val="List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5">
    <w:name w:val="List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6">
    <w:name w:val="List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7">
    <w:name w:val="List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88">
    <w:name w:val="List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9">
    <w:name w:val="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 &amp; 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Bordered &amp; 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Bordered &amp; 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Bordered &amp; 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Bordered &amp; 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Bordered &amp; 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Bordered &amp; 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4">
    <w:name w:val="Bordered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5">
    <w:name w:val="Bordered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6">
    <w:name w:val="Bordered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7">
    <w:name w:val="Bordered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8">
    <w:name w:val="Bordered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9">
    <w:name w:val="Bordered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0">
    <w:name w:val="Hyperlink"/>
    <w:uiPriority w:val="99"/>
    <w:unhideWhenUsed/>
    <w:rPr>
      <w:color w:val="0000FF" w:themeColor="hyperlink"/>
      <w:u w:val="single"/>
    </w:r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8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8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List Paragraph"/>
    <w:basedOn w:val="627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12</cp:revision>
  <dcterms:created xsi:type="dcterms:W3CDTF">2022-02-15T05:26:00Z</dcterms:created>
  <dcterms:modified xsi:type="dcterms:W3CDTF">2023-05-01T06:16:22Z</dcterms:modified>
</cp:coreProperties>
</file>