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Анализ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государственной итоговой аттестации обучающихся 9-х классов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муниципального бюджетного общеобразовательного учреждения </w:t>
      </w:r>
      <w:r>
        <w:rPr>
          <w:sz w:val="28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«Средняя общеобразовательная школа №5»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2021-2022 учебный год.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На к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онец 2021-2022 учебного года в 9-х классах обучалось 30 выпускников. Из них 28 обучающихся (93,3%) на основании результ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атов обучения и решения педагогического совета (протокол №9 от 17.05.2022 г.) приказом директора были допущены к государственной итоговой аттестации. Один выпускник 9 б класса (3,3%), обучавшийся по АООП в соответствии с ФГОС образования обучающихся с умств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енной отсталостью (интеллектуальными нарушениями) вариант 1, получил свидетельство об обучении. Один выпускник 9 а класса, имеющий академическую задолженность, в полном объёме не выполнивший учебный план, был оставлен на повторный курс обучения в 9 классе.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Из 28 выпускников 9 а,б классов, допущенных к государственной итоговой аттестации 27 обучающихся проходили ГИА-9 в ф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орме основного государственного экзамена, 1 обучающаяся - ребёнок с ОВЗ ( ребёнок-инвалид) в форме государственного выпускного экзамена. Обучающаяся с ОВЗ сдавала 2 экзамена по обязательным предметам с увеличением продолжительности экзамена на 1,5 часа. (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протокол №10 министерства образования Приморского края от 25.02.2022 г. «Об организации ГИА-9 для обучающихся с ОВЗ, обучающихся— детей-инвалидов и инвалидов и о создании условий, учитывающих состояние их здоровья и особенности психофизического развития»).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обязательных экзаменов </w:t>
      </w:r>
      <w:r/>
    </w:p>
    <w:p>
      <w:pPr>
        <w:contextualSpacing w:val="true"/>
        <w:ind w:left="0" w:right="-357" w:firstLine="0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(основные сроки)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>
        <w:trPr/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успешно сдавших (с первого раза)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качества знаний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8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2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>
          <w:trHeight w:val="309"/>
        </w:trPr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84,6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23,1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8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2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73,3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92,3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61,5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0" w:right="-357" w:firstLine="0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экзаменов в основные сроки 26 выпускников (92,9%) успешно прошли государственную итоговую аттестацию по математике.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b w:val="false"/>
          <w:i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Двое выпускников не прошли пороговый уровень по предмету. По предмету русский язык 27 выпускников (96,4%) успешно с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правились с 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t xml:space="preserve">экзаменационными испытаниями в основные сроки. Одна выпускница не прошла пороговый уровень по предмету. Двое выпускниц показали высокие результаты по русскому языку, набрав максимальный балл за экзаменационную работу (33 балла из 33 возможных).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 результатам прохождения выпускниками экзаменов по обя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зательным предметам и предметам по выбору на основании Порядка проведения государственной итоговой аттестации по образовательным программам основного общего образования и решения педагогического совета ( протокол №13 от 27.06.2022 г.) 22 обучающихся ( 78,6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%) успешно завершили государственную итоговую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аттестацию в основной период; 6 обучающихся (21,4%), получившие неудовлетворительный результат по одному (двум) учебным предметам были допущены к повторной государственной итоговой аттестации в резервные сроки.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Итоговые результаты государственной итоговой аттестации 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выпускников 9 а,б классов по обязательным предметам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>
        <w:trPr/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качества знаний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68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2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40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3,4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>
          <w:trHeight w:val="309"/>
        </w:trPr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38,5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3,4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</w:tr>
      <w:tr>
        <w:trPr/>
        <w:tc>
          <w:tcPr>
            <w:tcW w:w="168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2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73,3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3,9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69,2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color w:val="auto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auto"/>
                <w:sz w:val="24"/>
                <w:highlight w:val="none"/>
                <w:lang w:val="ru-RU"/>
              </w:rPr>
              <w:t xml:space="preserve">4,0</w:t>
            </w:r>
            <w:r>
              <w:rPr>
                <w:color w:val="auto"/>
              </w:rPr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Итоговый результат показывает, что все обучающиеся 9-х классов успешно справились с экзаменационными испытаниями по русскому языку и математике со следующими результатами: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Не прошли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сравнении с 2019-2020 и 2020-2021 учебными годами по обязательным предметам результаты по русскому языку и математике повысились.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Динамика результатов государственной итоговой аттестации 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 9-х классах  за 3 года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Железнова С.М.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3"/>
            <w:tcW w:w="887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ГИА-9 не проводилась в связи с дистанционным обучением обучающихся в условиях распространения коронавирусной инфекции (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en-US"/>
              </w:rPr>
              <w:t xml:space="preserve">COVID-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19)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3,95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Математика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год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Форма прохождения ГИА-9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успеваемости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2019-2020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/>
          </w:p>
        </w:tc>
        <w:tc>
          <w:tcPr>
            <w:gridSpan w:val="3"/>
            <w:tcW w:w="8871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ГИА-9 не проводилась в связи с дистанционным обучением обучающихся в условиях распространения коронавирусной инфекции (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en-US"/>
              </w:rPr>
              <w:t xml:space="preserve">COVID-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19)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2020-2021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Балакина Г.А.</w:t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Васильева О.В.</w:t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ОГЭ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ГВЭ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295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Динамика результатов ГИА-9 за последние 3 года показывает рост среднего балла по обязательным предметам, так по русскому языку повышение составило 0,25 балла (с 3,7 до 3,95), по математике — 0,3 балла (с 3,1 до 3,4).</w:t>
      </w:r>
      <w:r>
        <w:rPr>
          <w:b w:val="false"/>
          <w:i w:val="false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В качестве предметов по выбору в 2021-2022 учебном году выпускники выбрали 7 предметов.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6"/>
        <w:gridCol w:w="3696"/>
      </w:tblGrid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выпускников сдававших экзамен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% от общего количества выпускников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28,6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7,1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25,0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69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42,9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Самыми востребованными предметами по выбору выпускников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являются информатика, химия, география. По данным предметам выбор составляет 42,9% от общего количества выпускников. Менее востребованными оказались такие предметы как история и физика. По предметам литература и английский язык выбор предметов отсутствует.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Результаты экзаменов по выбору выпускников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886"/>
        <w:gridCol w:w="886"/>
        <w:gridCol w:w="886"/>
        <w:gridCol w:w="886"/>
        <w:gridCol w:w="1701"/>
        <w:gridCol w:w="1754"/>
        <w:gridCol w:w="1444"/>
      </w:tblGrid>
      <w:tr>
        <w:trPr>
          <w:trHeight w:val="310"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Оценка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Качество знаний (в%)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5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Успеваемость (в %)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44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Средний балл по школе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23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88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4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12,5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3,1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3,0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58,3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3,8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Летовальцева С.Ю.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57,1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3,6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66,7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4,0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3,0</w:t>
            </w:r>
            <w:r>
              <w:rPr>
                <w:b w:val="false"/>
                <w:i w:val="false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12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6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88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75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100</w:t>
            </w:r>
            <w:r>
              <w:rPr>
                <w:b w:val="false"/>
                <w:i w:val="false"/>
              </w:rPr>
            </w:r>
            <w:r/>
          </w:p>
        </w:tc>
        <w:tc>
          <w:tcPr>
            <w:tcW w:w="1444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3,5</w:t>
            </w:r>
            <w:r>
              <w:rPr>
                <w:b w:val="false"/>
                <w:i w:val="false"/>
              </w:rPr>
            </w:r>
            <w:r/>
          </w:p>
        </w:tc>
      </w:tr>
    </w:tbl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В текущем учебном году все предметы по выбору выпускников сданы успешно.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Успеваемость составляет 100%. Самые высокие показатели качества знаний обучающихся наблюдаются по предметам география, химия, биология. Динамику результатов экзаменов по выб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ору обучающихся за 3 года отследить невозможно т.к. в 2019-2020 г. выпускники 9-х классов были освобождены от прохождения государственной итоговой аттестации в связи с дистанционным обучением обучающихся в условиях распространения коронавирусной инфекции (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en-US"/>
        </w:rPr>
        <w:t xml:space="preserve">COVID-19)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; в 2020-2021 г. выпускники 9-х классов проходили государственную итоговую аттестацию только по обязательным предметам (русский язык и математика).</w:t>
      </w:r>
      <w:r/>
    </w:p>
    <w:p>
      <w:pPr>
        <w:contextualSpacing w:val="true"/>
        <w:jc w:val="left"/>
        <w:spacing w:lineRule="auto" w:line="240"/>
        <w:rPr>
          <w:rFonts w:ascii="Times New Roman" w:hAnsi="Times New Roman" w:cs="Times New Roman" w:eastAsia="Times New Roman"/>
          <w:b w:val="false"/>
          <w:i w:val="false"/>
          <w:sz w:val="24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</w:t>
      </w:r>
      <w:r>
        <w:rPr>
          <w:b w:val="false"/>
          <w:i w:val="fals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  <w:t xml:space="preserve">Анализ экзаменов по предметам естественно-научного цикла</w:t>
      </w: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</w:r>
      <w:r/>
    </w:p>
    <w:p>
      <w:pPr>
        <w:pStyle w:val="628"/>
        <w:jc w:val="center"/>
        <w:rPr>
          <w:b/>
          <w:i/>
          <w:sz w:val="24"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физике</w:t>
      </w:r>
      <w:r>
        <w:rPr>
          <w:b/>
          <w:i/>
          <w:sz w:val="24"/>
        </w:rPr>
      </w:r>
      <w:r/>
    </w:p>
    <w:p>
      <w:pPr>
        <w:pStyle w:val="628"/>
        <w:jc w:val="both"/>
        <w:rPr>
          <w:sz w:val="24"/>
          <w:highlight w:val="none"/>
        </w:rPr>
      </w:pPr>
      <w:r>
        <w:rPr>
          <w:b w:val="false"/>
          <w:sz w:val="24"/>
          <w:szCs w:val="28"/>
          <w:highlight w:val="none"/>
        </w:rPr>
        <w:t xml:space="preserve">     Из 28 обучающихся, допущенных к государственной итоговой аттестации, 1 ч. (3,7% от общего числа обучающихся) сдавал экзамен в форме ОГЭ  по предмету.</w:t>
      </w:r>
      <w:r>
        <w:rPr>
          <w:sz w:val="24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3428"/>
        <w:gridCol w:w="3428"/>
        <w:gridCol w:w="3428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3,0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0,0%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 w:val="false"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</w:rPr>
      </w:r>
      <w:r/>
    </w:p>
    <w:p>
      <w:pPr>
        <w:pStyle w:val="628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(№1-18)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(№19-25)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496"/>
        <w:gridCol w:w="1276"/>
        <w:gridCol w:w="2693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Предметный результат</w:t>
            </w:r>
            <w:r>
              <w:rPr>
                <w:b/>
                <w:i/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Правильно трактовать физический смысл используемых величин, их обозначения и единицы измерения; выделять приборы для их измерения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Распознавать проявление изученных физических явлений, выделяя их существенные свойства/признаки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Вычислять значение величины при анализе явлений с использованием законов и формул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изменения физических величин при протекании физических явлений и процессов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изменения физических величин при протекании физических явлений и процессов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 (анализ графиков, таблиц и схем)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Описывать свойства тел, физические явления и процессы, используя физические величины, физические законы и принципы (анализ графиков, таблиц и схем)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Проводить косвенные измерения физических величин, исследование зависимостей между величинами (экспериментальное задание на реальном оборудовании)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Различать явления и закономерности, лежащие в основе принципа действия машин, приборов и технических устройств. Приводить примеры вклада отечественных и зарубежных учёных-физиков в развитие науки, объяснение процессов окружающего мира, в развитие техники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технологий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Применять информацию из текста при решении учебнопознавательных и учебнопрактических задач.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Объяснять физические процессы и свойства тел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Объяснять физические процессы и свойства тел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 (комбинированная задача)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49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расчётные задачи, используя законы и формулы, связывающие физические величины (комбинированная задача)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 ч. (0%)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28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28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Вывод: 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t xml:space="preserve">обучающийся,выбравший экзамен по физике при решении заданий КИМ ОГЭ</w:t>
      </w:r>
      <w:r>
        <w:rPr>
          <w:rFonts w:ascii="Times New Roman" w:hAnsi="Times New Roman" w:cs="Times New Roman" w:eastAsia="Times New Roman"/>
          <w:b w:val="false"/>
          <w:sz w:val="24"/>
          <w:szCs w:val="28"/>
          <w:highlight w:val="none"/>
        </w:rPr>
        <w:t xml:space="preserve"> приступал к заданиям различного уровня сложности (базовый, повышенный, высокий). Нужно отметить , что основная масса заданий в экзаменационной работе выполнена на базовом уровне, на повышенном уровне из второй части заданий КИМ выполнено только 1 задание.</w:t>
      </w:r>
      <w:r>
        <w:rPr>
          <w:rFonts w:ascii="Times New Roman" w:hAnsi="Times New Roman" w:cs="Times New Roman" w:eastAsia="Times New Roman"/>
          <w:b w:val="false"/>
          <w:sz w:val="24"/>
        </w:rPr>
      </w:r>
      <w:r>
        <w:rPr>
          <w:b w:val="false"/>
        </w:rPr>
      </w:r>
    </w:p>
    <w:p>
      <w:pPr>
        <w:pStyle w:val="628"/>
        <w:jc w:val="both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На низком уровне сформированы умения обучающегося: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Различать словесную формулировку и математическое выражение закона, формулы, связывающие данную физическую величину с другими величинами</w:t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Не сформированы умения обучающ</w:t>
      </w: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t xml:space="preserve">его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ся на повышенном и высоком уровне: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1. </w:t>
      </w:r>
      <w:r>
        <w:rPr>
          <w:rFonts w:ascii="Times New Roman" w:hAnsi="Times New Roman" w:cs="Times New Roman" w:eastAsia="Times New Roman"/>
          <w:sz w:val="24"/>
        </w:rPr>
        <w:t xml:space="preserve">Описывать изменения физических величин при протекании физических явлений и процессов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Применять информацию из текста при решении учебнопознавательных и учебнопрактических задач;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sz w:val="24"/>
        </w:rPr>
        <w:t xml:space="preserve">4. </w:t>
      </w:r>
      <w:r>
        <w:rPr>
          <w:rFonts w:ascii="Times New Roman" w:hAnsi="Times New Roman" w:cs="Times New Roman" w:eastAsia="Times New Roman"/>
          <w:sz w:val="24"/>
        </w:rPr>
        <w:t xml:space="preserve">Объяснять физические процессы и свойства тел</w:t>
      </w:r>
      <w:r>
        <w:rPr>
          <w:rFonts w:ascii="Times New Roman" w:hAnsi="Times New Roman" w:cs="Times New Roman" w:eastAsia="Times New Roman"/>
          <w:sz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5. У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меть </w:t>
      </w:r>
      <w:r>
        <w:rPr>
          <w:rFonts w:ascii="Times New Roman" w:hAnsi="Times New Roman" w:cs="Times New Roman" w:eastAsia="Times New Roman"/>
          <w:sz w:val="24"/>
        </w:rPr>
        <w:t xml:space="preserve">выполнять действия с геометрическими фигурами, координатами и векторами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4"/>
          <w:szCs w:val="28"/>
        </w:rPr>
        <w:t xml:space="preserve">6. </w:t>
      </w:r>
      <w:r>
        <w:rPr>
          <w:rFonts w:ascii="Times New Roman" w:hAnsi="Times New Roman" w:cs="Times New Roman" w:eastAsia="Times New Roman"/>
          <w:sz w:val="24"/>
        </w:rPr>
        <w:t xml:space="preserve">Решать расчётные задачи, используя законы и формулы, связывающие физические величины;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7. Р</w:t>
      </w:r>
      <w:r>
        <w:rPr>
          <w:rFonts w:ascii="Times New Roman" w:hAnsi="Times New Roman" w:cs="Times New Roman" w:eastAsia="Times New Roman"/>
          <w:sz w:val="24"/>
        </w:rPr>
        <w:t xml:space="preserve">ешать расчётные задачи, используя законы и формулы, связывающие физические величины (комбинированная задача)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i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i/>
          <w:sz w:val="24"/>
          <w:szCs w:val="28"/>
        </w:rPr>
        <w:t xml:space="preserve">Анализ экзаменационных работ по химии</w:t>
      </w:r>
      <w:r>
        <w:rPr>
          <w:rFonts w:ascii="Times New Roman" w:hAnsi="Times New Roman" w:cs="Times New Roman" w:eastAsia="Times New Roman"/>
          <w:b/>
          <w:i/>
          <w:sz w:val="24"/>
        </w:rPr>
      </w:r>
      <w:r/>
    </w:p>
    <w:p>
      <w:pPr>
        <w:pStyle w:val="628"/>
        <w:contextualSpacing w:val="true"/>
        <w:jc w:val="left"/>
        <w:rPr>
          <w:sz w:val="24"/>
          <w:highlight w:val="none"/>
        </w:rPr>
        <w:suppressLineNumbers w:val="0"/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28 обучающихся, допущенных к государственной итоговой аттестации, 12 ч. (42,9% от общего числа обучающихся) сдавали экзамен в форме ОГЭ  по предмету.</w:t>
      </w:r>
      <w:r>
        <w:rPr>
          <w:sz w:val="24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786"/>
        <w:gridCol w:w="3213"/>
        <w:gridCol w:w="3213"/>
        <w:gridCol w:w="3213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213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3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3,8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213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58,3%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4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5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786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13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</w:rPr>
      </w:r>
      <w:r/>
    </w:p>
    <w:p>
      <w:pPr>
        <w:pStyle w:val="628"/>
        <w:jc w:val="center"/>
        <w:rPr>
          <w:sz w:val="24"/>
        </w:rPr>
      </w:pPr>
      <w:r>
        <w:rPr>
          <w:b/>
          <w:sz w:val="24"/>
          <w:szCs w:val="28"/>
        </w:rPr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1"/>
      </w:tblGrid>
      <w:tr>
        <w:trPr>
          <w:trHeight w:val="591"/>
        </w:trPr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(№1-19)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(№20-23)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</w:pPr>
            <w:r>
              <w:rPr>
                <w:b/>
                <w:i/>
                <w:sz w:val="24"/>
              </w:rPr>
              <w:t xml:space="preserve">Эксперимент (№24)</w:t>
            </w:r>
            <w:r>
              <w:rPr>
                <w:b/>
                <w:i/>
                <w:sz w:val="24"/>
              </w:rPr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 ч. (8,3%)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7 ч. (58,3%)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12ч. (100,0%)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11ч.(91,7%)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4 ч. (33,3%)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36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1 ч. (8,3%)</w:t>
            </w:r>
            <w:r>
              <w:rPr>
                <w:b w:val="false"/>
                <w:sz w:val="24"/>
              </w:rPr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0063"/>
        <w:gridCol w:w="1276"/>
        <w:gridCol w:w="2125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</w:r>
            <w:r>
              <w:rPr>
                <w:b/>
                <w:i/>
              </w:rPr>
              <w:t xml:space="preserve">Проверяемые требования к результатам освоения образовательной программы</w:t>
            </w:r>
            <w:r>
              <w:rPr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Атомы и молекулы. Химический элемент. Простые и сложные вещества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(50,0%)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(58,3%)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Закономерности изменения свойств элементов в связи с положением в Периодической системе Д.И. Менделеева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(58,3%)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Валентность. Степень окисления химических элементов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(58,3%)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вещества. Химическая связь: ковалентная (полярная и неполярная), ионная, металлическая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8 ч. (66,7%)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Д.И. Менделеева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(50,0%)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и номенклатура неорганических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(50,0%)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оксидов: оснόвных, амфотерных, кислотных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(16,7%)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сложных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(50,0%)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Химические свойства простых веществ. Химические свойства сложных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8 ч. (66,7%)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 ч. (83,3%)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Химическая реакция. Условия и признаки протекания химических реакций. Химические уравнения. Сохранение массы веществ при химических реакциях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 ч. (83,3%)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Электролиты и неэлектролиты. Катионы и анионы. Электролитическая диссоциация кислот, щёлочей и солей (средних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(50,0%)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Реакции ионного обмена и условия их осуществления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(58,3%)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Окислительновосстановительные реакции. Окислитель и восстановитель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11 ч. (91,7%)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16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окружающей среды и его последствия. Человек в мире веществ, материалов и химических реакций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ч.(33,3%)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гидроксидионы; ионы аммония, бария, серебра, кальция, меди и железа). Получение газообразных вещест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в. Качественные реакции на газообразные вещества (кислород, водород, углекислый газ, аммиак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ч.(25,0%)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Вычисление массовой доли химического элемента в веществе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8 ч. (66,7%)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Химическое загрязнение окружающей среды и его последствия. Человек в мире веществ, материалов и химических реакций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(16,7%)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Окислительновосстановительные реакции. Окислитель и восстановитель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12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Взаимосвязь различных классов неорганических веществ. Реакции ионного обмена и условия их осуществления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12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(58,3%)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Решение экспериментальных задач по теме «Неметаллы IV– VII групп и их соединений»; «Металлы и их соединения». Качественные реакции на ионы в растворе (хлорид-, иодид-, сульфат-, карбонат-, силикат-, фосфат-, гидроксид-ионы; ион аммония; катионы изученных 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еталлов, а также бария, серебра, кальция, меди и железа)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12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100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11 ч.(91,7%)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28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28"/>
        <w:jc w:val="both"/>
        <w:rPr>
          <w:b w:val="false"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 </w:t>
      </w:r>
      <w:r>
        <w:rPr>
          <w:b w:val="false"/>
          <w:sz w:val="24"/>
          <w:szCs w:val="28"/>
          <w:highlight w:val="none"/>
        </w:rPr>
        <w:t xml:space="preserve">обучающиеся, выбравшие экзамен по химии при решении заданий КИМ ОГЭ</w:t>
      </w:r>
      <w:r>
        <w:rPr>
          <w:b w:val="false"/>
          <w:sz w:val="24"/>
          <w:szCs w:val="28"/>
          <w:highlight w:val="none"/>
        </w:rPr>
        <w:t xml:space="preserve"> приступали к заданиям различного уровня сложности (базовый, повышенный, высокий). Нужно отметить , что  практически все  участники экзамена  массово приступали к  выполнению заданий повышенного и высокого уровня сложности из второй части КИМ ОГЭ.</w:t>
      </w:r>
      <w:r>
        <w:rPr>
          <w:b w:val="false"/>
          <w:sz w:val="24"/>
          <w:szCs w:val="28"/>
          <w:highlight w:val="none"/>
        </w:rPr>
        <w:t xml:space="preserve"> Практическая часть выполнена 11 обучающимися (91,7% от общего количества участников экзамена).</w:t>
      </w:r>
      <w:r>
        <w:rPr>
          <w:b w:val="false"/>
          <w:sz w:val="24"/>
        </w:rPr>
      </w:r>
      <w:r>
        <w:rPr>
          <w:b w:val="false"/>
        </w:rPr>
      </w:r>
    </w:p>
    <w:p>
      <w:pPr>
        <w:pStyle w:val="628"/>
        <w:jc w:val="both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b/>
          <w:sz w:val="24"/>
          <w:szCs w:val="28"/>
          <w:highlight w:val="none"/>
        </w:rPr>
        <w:t xml:space="preserve">На низком уровне сформированы умения обучающихся: 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1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Химические свойства простых веществ. Химические свойства оксидов: оснόвных, амфотерных, кислотных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2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Химическое загрязнение окружающей среды и его последствия. Человек в мире веществ, материалов и химических реакций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628"/>
        <w:jc w:val="center"/>
        <w:rPr>
          <w:b/>
          <w:i/>
          <w:sz w:val="24"/>
          <w:highlight w:val="none"/>
        </w:rPr>
      </w:pPr>
      <w:r>
        <w:rPr>
          <w:b/>
          <w:i/>
          <w:sz w:val="24"/>
          <w:szCs w:val="28"/>
        </w:rPr>
        <w:t xml:space="preserve">Анализ экзаменационных работ по биологии</w:t>
      </w:r>
      <w:r>
        <w:rPr>
          <w:b/>
          <w:i/>
          <w:sz w:val="24"/>
        </w:rPr>
      </w:r>
      <w:r/>
    </w:p>
    <w:p>
      <w:pPr>
        <w:pStyle w:val="628"/>
        <w:jc w:val="both"/>
        <w:rPr>
          <w:sz w:val="24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</w:t>
      </w:r>
      <w:r>
        <w:rPr>
          <w:b w:val="false"/>
          <w:sz w:val="24"/>
          <w:szCs w:val="28"/>
          <w:highlight w:val="none"/>
        </w:rPr>
        <w:t xml:space="preserve">  Из 28 обучающихся, допущенных к государственной итоговой аттестации, 7 ч. (25,0% от общего числа обучающихся) сдавали экзамен в форме ОГЭ  по предмету.</w:t>
      </w:r>
      <w:r>
        <w:rPr>
          <w:sz w:val="24"/>
        </w:rPr>
      </w:r>
      <w:r/>
    </w:p>
    <w:p>
      <w:pPr>
        <w:pStyle w:val="628"/>
        <w:jc w:val="center"/>
      </w:pPr>
      <w:r>
        <w:rPr>
          <w:b/>
          <w:sz w:val="28"/>
          <w:szCs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3428"/>
        <w:gridCol w:w="3428"/>
        <w:gridCol w:w="3428"/>
      </w:tblGrid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Оценка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Количество обучающихся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Средний балл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успеваемости</w:t>
            </w:r>
            <w:r/>
          </w:p>
        </w:tc>
        <w:tc>
          <w:tcPr>
            <w:tcW w:w="3428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Процент качества знаний</w:t>
            </w:r>
            <w:r/>
          </w:p>
        </w:tc>
      </w:tr>
      <w:tr>
        <w:trPr>
          <w:trHeight w:val="327"/>
        </w:trPr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«5»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3,6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100%</w:t>
            </w:r>
            <w:r/>
          </w:p>
        </w:tc>
        <w:tc>
          <w:tcPr>
            <w:tcW w:w="3428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</w:r>
            <w:r/>
          </w:p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57,1%</w:t>
            </w:r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«4»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4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«3»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  <w:szCs w:val="28"/>
              </w:rPr>
              <w:t xml:space="preserve">3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«2»</w:t>
            </w:r>
            <w:r/>
          </w:p>
        </w:tc>
        <w:tc>
          <w:tcPr>
            <w:tcW w:w="2141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8"/>
              </w:rPr>
              <w:t xml:space="preserve">0</w:t>
            </w:r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8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Выполнение заданий КИМ</w:t>
      </w:r>
      <w:r>
        <w:rPr>
          <w:b/>
          <w:sz w:val="24"/>
          <w:szCs w:val="28"/>
        </w:rPr>
        <w:t xml:space="preserve"> в форме ОГЭ</w:t>
      </w:r>
      <w:r>
        <w:rPr>
          <w:sz w:val="24"/>
        </w:rPr>
      </w:r>
      <w:r/>
    </w:p>
    <w:p>
      <w:pPr>
        <w:pStyle w:val="628"/>
        <w:jc w:val="center"/>
      </w:pPr>
      <w:r>
        <w:rPr>
          <w:b/>
          <w:sz w:val="28"/>
          <w:szCs w:val="28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>
        <w:trPr>
          <w:trHeight w:val="591"/>
        </w:trPr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Характер выполнения задания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кратким ответом (№1-24)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/>
                <w:i/>
                <w:sz w:val="24"/>
              </w:rPr>
              <w:t xml:space="preserve">Задания с развёрнутым ответом (№25-29)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полностью без ошибок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Выполнили частично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7ч. (100,0%)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7ч.(100,0%)</w:t>
            </w:r>
            <w:r/>
          </w:p>
        </w:tc>
      </w:tr>
      <w:tr>
        <w:trPr/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left"/>
            </w:pPr>
            <w:r>
              <w:rPr>
                <w:b w:val="false"/>
                <w:sz w:val="24"/>
              </w:rPr>
              <w:t xml:space="preserve">Не приступали к выполнению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  <w:tc>
          <w:tcPr>
            <w:tcW w:w="4855" w:type="dxa"/>
            <w:textDirection w:val="lrTb"/>
            <w:noWrap w:val="false"/>
          </w:tcPr>
          <w:p>
            <w:pPr>
              <w:pStyle w:val="628"/>
              <w:jc w:val="center"/>
            </w:pPr>
            <w:r>
              <w:rPr>
                <w:b w:val="false"/>
                <w:sz w:val="24"/>
              </w:rPr>
              <w:t xml:space="preserve">0 ч. (0%)</w:t>
            </w:r>
            <w:r/>
          </w:p>
        </w:tc>
      </w:tr>
    </w:tbl>
    <w:p>
      <w:pPr>
        <w:pStyle w:val="628"/>
        <w:jc w:val="center"/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4"/>
          <w:highlight w:val="none"/>
        </w:rPr>
      </w:pPr>
      <w:r>
        <w:rPr>
          <w:b/>
          <w:sz w:val="24"/>
          <w:szCs w:val="28"/>
        </w:rPr>
        <w:t xml:space="preserve">Анализ выполнения заданий КИМ ОГЭ</w:t>
      </w:r>
      <w:r>
        <w:rPr>
          <w:sz w:val="24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21"/>
        <w:gridCol w:w="1276"/>
        <w:gridCol w:w="2268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№ задания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highlight w:val="none"/>
              </w:rPr>
              <w:t xml:space="preserve">Проверяемые элементы содержания</w:t>
            </w:r>
            <w:r>
              <w:rPr>
                <w:highlight w:val="none"/>
              </w:rPr>
            </w:r>
            <w:r/>
          </w:p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Характер задания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i/>
                <w:sz w:val="24"/>
                <w:highlight w:val="none"/>
              </w:rPr>
              <w:t xml:space="preserve">Решаемость в %, количество обучающихся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Знать признаки биологических объектов на разных уровнях организации живого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szCs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(42,9%)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Знать признаки биологических объектов на разных уровнях организации живого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(42,9%)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Царство Бактерии. Царство Грибы. Вирусы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(42,9%)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Царство Растения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Царство Животны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 (28,6%)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Нейрогуморальная регуляция процессов жизнедеятельности организма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Опора и движение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ч.(28,6%)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Внутренняя среда. Транспорт веществ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Питание. Дыхание. Обмен веществ. Выделение. Покровы тела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 ч. (42,9%)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Органы чувств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Психология и поведение человека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Соблюдение санитарногигиенических норм и правил здорового образа жизни. Приёмы оказания первой доврачебной помощи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Влияние экологических факторов на организмы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Экосистемная организация живой природы. Биосфера. Учение об эволюции органического мира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17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Б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18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Обладать приёмами работы с информацией биологического содержания, представленной в графической форме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19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проводить множественный выбор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20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проводить множественный выбор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21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Знать признаки биологических объектов на разных уровнях организации живого. Умение устанавливать соответствие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22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определять последовательности биологических процессов, явлений, объектов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23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включать в биологический текст пропущенные термины и понятия из числа предложенных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24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соотносить морфологические признаки организма или его отдельных органов с предложенными моделями по заданному алгоритму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 ч. (71,4%)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25</w:t>
            </w:r>
            <w:r>
              <w:rPr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 ч. (57,1%)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26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ч. (14,3%)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27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работать с текстом биологического содержания (понимать, сравнивать, обобщать)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П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 ч. (100,0%)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28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Умение работать со статистическими данными, представленными в табличной форме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 w:val="false"/>
                <w:sz w:val="28"/>
                <w:highlight w:val="none"/>
              </w:rPr>
              <w:t xml:space="preserve">29</w:t>
            </w:r>
            <w:r>
              <w:rPr>
                <w:b w:val="false"/>
                <w:sz w:val="28"/>
                <w:highlight w:val="none"/>
              </w:rPr>
            </w:r>
            <w:r/>
          </w:p>
        </w:tc>
        <w:tc>
          <w:tcPr>
            <w:tcW w:w="992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28"/>
              <w:jc w:val="center"/>
              <w:rPr>
                <w:highlight w:val="none"/>
              </w:rPr>
            </w:pPr>
            <w:r>
              <w:rPr>
                <w:b/>
                <w:sz w:val="28"/>
                <w:highlight w:val="none"/>
              </w:rPr>
              <w:t xml:space="preserve">В</w:t>
            </w:r>
            <w:r>
              <w:rPr>
                <w:b/>
                <w:sz w:val="28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 ч. (85,7%)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628"/>
        <w:jc w:val="center"/>
        <w:rPr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628"/>
        <w:jc w:val="both"/>
        <w:rPr>
          <w:b w:val="false"/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Вывод:</w:t>
      </w:r>
      <w:r>
        <w:rPr>
          <w:b w:val="false"/>
          <w:sz w:val="24"/>
          <w:szCs w:val="28"/>
          <w:highlight w:val="none"/>
        </w:rPr>
        <w:t xml:space="preserve"> обучающиеся,выбравшие экзамен по биологии при решении заданий КИМ ОГЭ</w:t>
      </w:r>
      <w:r>
        <w:rPr>
          <w:b w:val="false"/>
          <w:sz w:val="24"/>
          <w:szCs w:val="28"/>
          <w:highlight w:val="none"/>
        </w:rPr>
        <w:t xml:space="preserve"> приступали к заданиям различного уровня сложности (базовый, повышенный, высокий). </w:t>
      </w:r>
      <w:r>
        <w:rPr>
          <w:b w:val="false"/>
          <w:sz w:val="24"/>
          <w:szCs w:val="28"/>
          <w:highlight w:val="none"/>
        </w:rPr>
        <w:t xml:space="preserve">Нужно отметить , что  практически все  участники экзамена  массово приступали к  выполнению заданий повышенного и высокого уровня сложности из второй части КИМ ОГЭ.</w:t>
      </w:r>
      <w:r>
        <w:rPr>
          <w:b w:val="false"/>
          <w:sz w:val="24"/>
        </w:rPr>
      </w:r>
      <w:r>
        <w:rPr>
          <w:b w:val="false"/>
        </w:rPr>
      </w:r>
    </w:p>
    <w:p>
      <w:pPr>
        <w:pStyle w:val="628"/>
        <w:jc w:val="both"/>
        <w:rPr>
          <w:sz w:val="24"/>
          <w:highlight w:val="none"/>
        </w:rPr>
      </w:pPr>
      <w:r>
        <w:rPr>
          <w:b/>
          <w:sz w:val="24"/>
          <w:szCs w:val="28"/>
          <w:highlight w:val="none"/>
        </w:rPr>
        <w:t xml:space="preserve"> </w:t>
      </w:r>
      <w:r>
        <w:rPr>
          <w:b/>
          <w:sz w:val="24"/>
          <w:szCs w:val="28"/>
          <w:highlight w:val="none"/>
        </w:rPr>
        <w:t xml:space="preserve">На низком уровне сформированы умения обучающихся: 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b/>
          <w:sz w:val="24"/>
          <w:highlight w:val="none"/>
        </w:rPr>
      </w:r>
      <w:r>
        <w:rPr>
          <w:sz w:val="24"/>
        </w:rPr>
        <w:t xml:space="preserve">1</w:t>
      </w:r>
      <w:r>
        <w:rPr>
          <w:sz w:val="24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4"/>
        </w:rPr>
        <w:t xml:space="preserve">Царство Животны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е;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</w:rPr>
        <w:suppressLineNumbers w:val="0"/>
      </w:pPr>
      <w:r>
        <w:rPr>
          <w:b/>
          <w:sz w:val="24"/>
          <w:highlight w:val="none"/>
        </w:rPr>
      </w:r>
      <w:r>
        <w:rPr>
          <w:sz w:val="24"/>
        </w:rPr>
        <w:t xml:space="preserve">2</w:t>
      </w:r>
      <w:r>
        <w:rPr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Опора и движение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;</w:t>
      </w:r>
      <w:r>
        <w:rPr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3. </w:t>
      </w:r>
      <w:r>
        <w:rPr>
          <w:rFonts w:ascii="Times New Roman" w:hAnsi="Times New Roman" w:cs="Times New Roman" w:eastAsia="Times New Roman"/>
          <w:sz w:val="24"/>
        </w:rPr>
        <w:t xml:space="preserve"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Вывод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по результатам прохождения ГИА-9 в 2021-2022 учебном году все выпускники 9-х классов, допущенные к прохождению государственной итоговой аттестации, получили аттестат об основном общем образовании. Государственная итоговая аттестация прошла без нарушений  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Порядка проведения государственной итоговой аттестации по о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бразовательным программам основного общего образования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. Двое выпускни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ц 9 а класса ,претендовавших на получение аттестата об основном общем образовании с отличием успешно прошли государственную итоговую аттестацию и подтвердили высокий уровень знаний, умений и навыков по обязательным предметам и предметам по выбору. На основ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ании итоговых результатов обучения на ступени основного общего образования и по решению педагогического совета (протокол №13 от 27.06.2022 г.) данные обучающиеся закончили основную общеобразовательную школу с отличием с вручением аттестата особого образца.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left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Зам. директора по УВР:                  Т.Ю.Цымбал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4"/>
          <w:lang w:val="ru-RU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sz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i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i/>
          <w:sz w:val="28"/>
          <w:highlight w:val="none"/>
          <w:lang w:val="ru-RU"/>
        </w:rPr>
      </w:r>
      <w:r/>
    </w:p>
    <w:sectPr>
      <w:footnotePr/>
      <w:endnotePr/>
      <w:type w:val="nextPage"/>
      <w:pgSz w:w="16838" w:h="11906" w:orient="landscape"/>
      <w:pgMar w:top="709" w:right="1134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  <w:style w:type="paragraph" w:styleId="62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2022-07-29T22:23:34Z</dcterms:modified>
</cp:coreProperties>
</file>