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Анализ</w:t>
      </w:r>
      <w:r>
        <w:rPr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государственной итоговой аттестации обучающихся 11 класса</w:t>
      </w:r>
      <w:r>
        <w:rPr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муниципального бюджетного общеобразовательного учреждения </w:t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«Средняя общеобразовательная школа №5»</w:t>
      </w:r>
      <w:r>
        <w:rPr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Дальнереченского городского округа</w:t>
      </w:r>
      <w:r>
        <w:rPr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2021-2022 учебный год.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На конец 2021-2022 учебного года в 11 классе обучалось 9 выпускников. Из них 9 обучающихся (100%) на основании результат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ов обучения и решения педагогического совета (протокол №10 от 24.05.2022 г.) приказом директора были допущены к государственной итоговой аттестации. В данном учебном году все обучающиеся 11 класса  проходили государственную итоговую аттестацию в форме ЕГЭ.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обязательных экзаменов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(основные сроки)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58,8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(базовый уровень)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83,3%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(профильный уровень)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0" w:right="-357" w:firstLine="0"/>
        <w:jc w:val="left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экзаменов в основные сроки 9 выпускников (100%) успешно прошли государственную итоговую аттестацию по русскому языку. Самый высокий результат-72 балла. Экзамен по математике  6 обучающихся (66,7%) сдавали на базово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м уровне и 3 обучающихся ( 33,3%) на профильном уровне. Пороговый балл по предмету на базовом уровне не преодолел 1 выпускник (11,1%). Причиной неудовлетворительного результата является низкий уровень самоподготовки обучающегося  по предмету.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прохождения выпускниками экзаменов по обязательным предметам, на основании Порядка проведения государственной итоговой аттестации по 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бразовательным программам среднего общего образования и решения педагогического совета ( протокол №12 от 16.06.2022 г.) 8 обучающихся (88,9%) окончили среднюю школу; 1 выпускник (11,1%) был допущен к сдаче экзамена по математике повторно в резервные сроки.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Итоговые результаты государственной итоговой аттестации </w:t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выпускников 11 класса по обязательным предметам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58,8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(базовый уровень)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(профильный уровень)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</w:tbl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lang w:val="ru-RU"/>
        </w:rPr>
        <w:t xml:space="preserve">Динамика результатов ГИА по обязательным предметам за 3 года</w:t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Русский язык</w:t>
      </w:r>
      <w:r/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0"/>
        <w:gridCol w:w="2900"/>
        <w:gridCol w:w="2900"/>
      </w:tblGrid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2019-2020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Кулибаба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69,5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67,6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58,8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lang w:val="ru-RU"/>
        </w:rPr>
        <w:t xml:space="preserve">Математика</w:t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2900"/>
        <w:gridCol w:w="2900"/>
        <w:gridCol w:w="2245"/>
        <w:gridCol w:w="3555"/>
        <w:gridCol w:w="2900"/>
      </w:tblGrid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>
          <w:trHeight w:val="629"/>
        </w:trPr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2019-2020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Базовый уровень——Профильный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Не проходили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Базовый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Профильный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70</w:t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Базовый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Профильный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3,2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В сравнении с 2019-2020 и 2020-2021 учебными годами результаты государственной 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тоговой аттестации  текущего года по обязательным предметам снизились. По русскому языку на 10,7 баллов (с 69,5 до 58,8); по математике —на 24 балла (с 66 баллов до 42). Причинами снижения результатов является низкий уровень учебной мотивации обучающихся.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Экзамены по выбору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качестве предм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етов по выбору в 2021-2022 учебном году выпускники выбрали 7 предметов. Так как выпускников по численности мало и 4 выпускников (44,4%) при прохождении ГИА-11 решили сдавать только обязательные предметы, поэтому предметов с большим выбором выпускников нет.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/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3626"/>
        <w:gridCol w:w="3626"/>
        <w:gridCol w:w="3626"/>
        <w:gridCol w:w="3626"/>
      </w:tblGrid>
      <w:tr>
        <w:trPr/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выпускников, сдававших экзамен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от общего количества выпускников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22,2%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Хачатрян С.А.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jc w:val="left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При выборе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предметов для прохождения ГИА-11 остались невостребованными такие предметы как литература, география, т.к. выпускники 2021-2022 учебного года не связали данные предметы с дальнейшим поступлением в образовательные учреждения для получения будущей профессии.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экзаменов по выбору выпускников за 3 года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2"/>
        <w:gridCol w:w="2072"/>
        <w:gridCol w:w="2072"/>
        <w:gridCol w:w="2072"/>
        <w:gridCol w:w="2072"/>
      </w:tblGrid>
      <w:tr>
        <w:trPr/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3"/>
            <w:tcW w:w="62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Успеваемость (в %)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3"/>
            <w:tcW w:w="62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2019-2020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2019-2020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83,3%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53,7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61,5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41,2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13,5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текущем учебном году все предметы по выбору выпускников сданы успешно, кроме биологии. Одна выпускница не преодолела пороговый балл по предмету (набрала 32 балла при проходно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м 36 баллов). Основной причиной неуспешности является слабый уровень самоподготовки по предмету, а так же при продолжительности экзамена 3 ч. 55 минут (235 минут) обучающаяся использовала менее 50% времени, отведённого на выполнение экзаменационной работы.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i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  <w:t xml:space="preserve">Анализ экзаменов по предметам естественно-научного цикла</w:t>
      </w:r>
      <w:r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Анализ экзаменационных работ по физике</w:t>
      </w:r>
      <w:r>
        <w:rPr>
          <w:sz w:val="24"/>
        </w:rPr>
      </w:r>
      <w:r/>
    </w:p>
    <w:p>
      <w:pPr>
        <w:pStyle w:val="630"/>
        <w:jc w:val="both"/>
        <w:rPr>
          <w:sz w:val="24"/>
          <w:highlight w:val="none"/>
        </w:rPr>
      </w:pPr>
      <w:r>
        <w:rPr>
          <w:b w:val="false"/>
          <w:sz w:val="24"/>
          <w:szCs w:val="28"/>
          <w:highlight w:val="none"/>
        </w:rPr>
        <w:t xml:space="preserve">     Из 9 обучающихся, допущенных к государственной итоговой аттестации, 1 ч. (11,1% от общего числа обучающихся) сдавал экзамен в форме ЕГЭ  по предмету.</w:t>
      </w:r>
      <w:r>
        <w:rPr>
          <w:sz w:val="24"/>
        </w:rPr>
      </w:r>
      <w:r/>
    </w:p>
    <w:p>
      <w:pPr>
        <w:pStyle w:val="630"/>
        <w:jc w:val="center"/>
      </w:pPr>
      <w:r>
        <w:rPr>
          <w:b/>
          <w:sz w:val="28"/>
          <w:szCs w:val="28"/>
          <w:highlight w:val="none"/>
        </w:rPr>
      </w:r>
      <w:r/>
    </w:p>
    <w:tbl>
      <w:tblPr>
        <w:tblStyle w:val="46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031"/>
        <w:gridCol w:w="2433"/>
        <w:gridCol w:w="2433"/>
        <w:gridCol w:w="2433"/>
        <w:gridCol w:w="2433"/>
      </w:tblGrid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sz w:val="24"/>
                <w:szCs w:val="28"/>
                <w:lang w:val="ru-RU"/>
              </w:rPr>
              <w:t xml:space="preserve">работающий учитель</w:t>
            </w:r>
            <w:r/>
          </w:p>
        </w:tc>
        <w:tc>
          <w:tcPr>
            <w:tcW w:w="2031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обучающихся, сдававших экзамен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Процент успеваемости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</w:pPr>
            <w:r>
              <w:rPr>
                <w:b/>
                <w:i/>
                <w:sz w:val="24"/>
              </w:rPr>
              <w:t xml:space="preserve">Минимальная граница</w:t>
            </w:r>
            <w:r>
              <w:rPr>
                <w:b/>
                <w:i/>
                <w:sz w:val="24"/>
                <w:szCs w:val="28"/>
              </w:rPr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Средний балл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Не прошли уровень</w:t>
            </w:r>
            <w:r/>
          </w:p>
        </w:tc>
      </w:tr>
      <w:tr>
        <w:trPr>
          <w:trHeight w:val="436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3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100,0%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</w:r>
            <w:r/>
          </w:p>
        </w:tc>
        <w:tc>
          <w:tcPr>
            <w:tcW w:w="2433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3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630"/>
        <w:jc w:val="center"/>
      </w:pPr>
      <w:r>
        <w:rPr>
          <w:b w:val="false"/>
          <w:sz w:val="28"/>
          <w:szCs w:val="28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sz w:val="24"/>
        </w:rPr>
      </w:r>
      <w:r/>
    </w:p>
    <w:p>
      <w:pPr>
        <w:pStyle w:val="630"/>
        <w:jc w:val="center"/>
        <w:rPr>
          <w:sz w:val="24"/>
        </w:rPr>
      </w:pPr>
      <w:r>
        <w:rPr>
          <w:b/>
          <w:sz w:val="24"/>
          <w:szCs w:val="28"/>
        </w:rPr>
      </w:r>
      <w:r>
        <w:rPr>
          <w:sz w:val="24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57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(№1-23)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(№24-30)</w:t>
            </w:r>
            <w:r/>
          </w:p>
        </w:tc>
      </w:tr>
      <w:tr>
        <w:trPr>
          <w:trHeight w:val="520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>
          <w:trHeight w:val="260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0ч.(0%)</w:t>
            </w:r>
            <w:r/>
          </w:p>
        </w:tc>
      </w:tr>
      <w:tr>
        <w:trPr>
          <w:trHeight w:val="260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 ч. (100,0%)</w:t>
            </w:r>
            <w:r/>
          </w:p>
        </w:tc>
      </w:tr>
    </w:tbl>
    <w:p>
      <w:pPr>
        <w:pStyle w:val="630"/>
        <w:jc w:val="center"/>
      </w:pPr>
      <w:r>
        <w:rPr>
          <w:b/>
          <w:sz w:val="28"/>
          <w:szCs w:val="28"/>
        </w:rPr>
      </w:r>
      <w:r/>
    </w:p>
    <w:p>
      <w:pPr>
        <w:pStyle w:val="630"/>
        <w:jc w:val="center"/>
        <w:rPr>
          <w:b/>
          <w:sz w:val="24"/>
          <w:szCs w:val="28"/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sz w:val="24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  <w:highlight w:val="none"/>
        </w:rPr>
      </w:r>
      <w:r>
        <w:rPr>
          <w:b/>
          <w:sz w:val="24"/>
          <w:szCs w:val="28"/>
          <w:highlight w:val="none"/>
        </w:rPr>
      </w:r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496"/>
        <w:gridCol w:w="1276"/>
        <w:gridCol w:w="2693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Предметный результат</w:t>
            </w:r>
            <w:r>
              <w:rPr>
                <w:highlight w:val="none"/>
              </w:rPr>
            </w:r>
            <w:r/>
          </w:p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Правильно трактовать физический смысл изученных физических величин, законов и закономерностей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Использовать графическое представление информации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Определять показания измерительных приборов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Планировать эксперимент, отбирать оборудование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качественные задачи, использующие типовые учебные ситуации с явно заданными физическими моделями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явно заданной физической моделью с использованием законов и формул из одного раздела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явно заданной физической моделью с использованием законов и формул из одного раздела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29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физики, обосновывая выбор физической модели для решения задачи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630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30"/>
        <w:jc w:val="both"/>
        <w:rPr>
          <w:b w:val="false"/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 w:val="false"/>
          <w:sz w:val="24"/>
          <w:szCs w:val="28"/>
          <w:highlight w:val="none"/>
        </w:rPr>
        <w:t xml:space="preserve">обучающийся, выбравший экзамен по физике при решении заданий КИМ ЕГЭ</w:t>
      </w:r>
      <w:r>
        <w:rPr>
          <w:b w:val="false"/>
          <w:sz w:val="24"/>
          <w:szCs w:val="28"/>
          <w:highlight w:val="none"/>
        </w:rPr>
        <w:t xml:space="preserve"> приступал к заданиям базового и повышенного уровней сложности. Нужно отметить , что основная масса заданий в экзаменационной работе выполнена лишь в первой части на базовом уровне, во второй части КИМ не было выполнено ни одного задания.</w:t>
      </w:r>
      <w:r>
        <w:rPr>
          <w:b w:val="false"/>
          <w:sz w:val="24"/>
        </w:rPr>
      </w:r>
      <w:r>
        <w:rPr>
          <w:b w:val="false"/>
        </w:rPr>
      </w:r>
    </w:p>
    <w:p>
      <w:pPr>
        <w:pStyle w:val="630"/>
        <w:jc w:val="both"/>
        <w:rPr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обучающегося на повышенном и высоком уровне:</w:t>
      </w:r>
      <w:r>
        <w:rPr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1. </w:t>
      </w:r>
      <w:r>
        <w:rPr>
          <w:rFonts w:ascii="Times New Roman" w:hAnsi="Times New Roman" w:cs="Times New Roman" w:eastAsia="Times New Roman"/>
          <w:sz w:val="24"/>
        </w:rPr>
        <w:t xml:space="preserve">Решать качественные задачи, использующие типовые учебные ситуации с явно заданными физическими моделями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 с явно заданной физической моделью с использованием законов и формул из одного раздела курса физики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4.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 с неявно заданной физической моделью с использованием законов и формул из одного-двух разделов курса физики, обосновывая выбор физической модели для решения задачи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0"/>
        <w:jc w:val="center"/>
        <w:rPr>
          <w:b/>
          <w:i/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химии</w:t>
      </w:r>
      <w:r>
        <w:rPr>
          <w:b/>
          <w:i/>
          <w:sz w:val="24"/>
          <w:highlight w:val="none"/>
        </w:rPr>
      </w:r>
      <w:r>
        <w:rPr>
          <w:b/>
          <w:i/>
        </w:rPr>
      </w:r>
    </w:p>
    <w:p>
      <w:pPr>
        <w:pStyle w:val="630"/>
        <w:jc w:val="both"/>
        <w:rPr>
          <w:sz w:val="24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</w:t>
      </w:r>
      <w:r>
        <w:rPr>
          <w:b w:val="false"/>
          <w:sz w:val="24"/>
          <w:szCs w:val="28"/>
          <w:highlight w:val="none"/>
        </w:rPr>
        <w:t xml:space="preserve">   Из 9 обучающихся, допущенных к государственной итоговой аттестации, 1 ч. (11,1% от общего числа обучающихся) сдавал экзамен в форме ЕГЭ  по предмету.</w:t>
      </w:r>
      <w:r>
        <w:rPr>
          <w:sz w:val="24"/>
        </w:rPr>
      </w:r>
      <w:r/>
    </w:p>
    <w:p>
      <w:pPr>
        <w:pStyle w:val="630"/>
        <w:jc w:val="both"/>
        <w:rPr>
          <w:sz w:val="24"/>
        </w:rPr>
      </w:pPr>
      <w:r>
        <w:rPr>
          <w:b/>
          <w:sz w:val="24"/>
          <w:szCs w:val="28"/>
          <w:highlight w:val="none"/>
        </w:rPr>
      </w:r>
      <w:r>
        <w:rPr>
          <w:sz w:val="24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912"/>
        <w:gridCol w:w="2427"/>
        <w:gridCol w:w="2427"/>
        <w:gridCol w:w="2427"/>
        <w:gridCol w:w="2427"/>
      </w:tblGrid>
      <w:tr>
        <w:trPr/>
        <w:tc>
          <w:tcPr>
            <w:tcW w:w="2942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sz w:val="24"/>
                <w:szCs w:val="28"/>
                <w:lang w:val="ru-RU"/>
              </w:rPr>
              <w:t xml:space="preserve">работающий учитель</w:t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обучающихся, сдававших экзамен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Процент успеваемости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</w:pPr>
            <w:r>
              <w:rPr>
                <w:b/>
                <w:i/>
                <w:sz w:val="24"/>
              </w:rPr>
              <w:t xml:space="preserve">Минимальная граница</w:t>
            </w:r>
            <w:r>
              <w:rPr>
                <w:b/>
                <w:i/>
                <w:sz w:val="24"/>
                <w:szCs w:val="28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Средний балл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Не прошли уровень</w:t>
            </w:r>
            <w:r/>
          </w:p>
        </w:tc>
      </w:tr>
      <w:tr>
        <w:trPr>
          <w:trHeight w:val="436"/>
        </w:trPr>
        <w:tc>
          <w:tcPr>
            <w:tcW w:w="29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Цымбал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Т.Ю.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100,0%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30"/>
        <w:jc w:val="center"/>
      </w:pPr>
      <w:r>
        <w:rPr>
          <w:b w:val="false"/>
          <w:sz w:val="28"/>
          <w:szCs w:val="28"/>
        </w:rPr>
      </w:r>
      <w:r/>
    </w:p>
    <w:p>
      <w:pPr>
        <w:pStyle w:val="63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sz w:val="24"/>
        </w:rPr>
      </w:r>
      <w:r/>
    </w:p>
    <w:p>
      <w:pPr>
        <w:pStyle w:val="630"/>
        <w:jc w:val="center"/>
      </w:pPr>
      <w:r>
        <w:rPr>
          <w:b/>
          <w:sz w:val="28"/>
          <w:szCs w:val="28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41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(№1-28)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(№29-34)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0ч.(0%)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 ч. (100,0%)</w:t>
            </w:r>
            <w:r/>
          </w:p>
        </w:tc>
      </w:tr>
    </w:tbl>
    <w:p>
      <w:pPr>
        <w:pStyle w:val="630"/>
        <w:jc w:val="center"/>
      </w:pPr>
      <w:r>
        <w:rPr>
          <w:b/>
          <w:sz w:val="28"/>
          <w:szCs w:val="28"/>
        </w:rPr>
      </w:r>
      <w:r/>
    </w:p>
    <w:p>
      <w:pPr>
        <w:pStyle w:val="630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highlight w:val="none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21"/>
        <w:gridCol w:w="1276"/>
        <w:gridCol w:w="2268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Проверяемые элементы содержания</w:t>
            </w:r>
            <w:r>
              <w:rPr>
                <w:highlight w:val="none"/>
              </w:rPr>
            </w:r>
            <w:r/>
          </w:p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Строение электронных оболочек атомов элементов первых четырёх периодов: s-, pи d-элементы. Электронная конфигурация атома. Основное и возбуждённое состояния атомов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IVА– VIIА групп в связи с их положением в П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ериодической системе химических элементов Д.И. Менделеева и особенностями строения их атомов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Электроотрицательность. Степень окисления и валентность химических элементов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ой решётки. Зависимость свойств веществ от их состава и строения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неорганических веществ. Номенклатура неорганических веществ (тривиальная и международная)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простых веществ – металлов: щелочных, щёлочноземельных, магния, алюминия; переходных металлов: меди, цинка, хрома, железа. Характерные химические свойства простых веществ – неметаллов: водорода, галогенов, кислорода, серы, 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зота, фосфора, углерода, кремния. Характерные химические свойства оксидов: оснóвных, амфотерных, кислотных 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едних, кислых, оснóвных;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неорганических веществ. Номенклатура неорганических веществ (тривиальная и международная). Характерные химические свойства неорганических веществ: – простых веществ – металлов: щелочных, щёлочноземельных, магния, алюминия, переходных металлов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(меди, цинка, хрома, железа); – простых веществ – неметаллов: водорода, галогенов, кислорода, серы, азота, фосфора, углерода, кремния; – оксидов: оснóвных, амфотерных, кислотных; – оснований и амфотерных гидроксидов; – кислот; – солей: средних, кислых, ос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нóвных; комплексных (на примере гидроксосоединений алюминия и цинка)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неорганических веществ. Номенклатура неорганических веществ (тривиальная и международная); Характерные химические свойства неорганических веществ: – простых веществ – металлов: щелочных, щёлочноземельных, магния, алюминия, переходных металлов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(меди, цинка, хрома, железа); – простых веществ – неметаллов: водорода, галогенов, кислорода, серы, азота, фосфора, углерода, кремния; – оксидов: оснóвных, амфотерных, кислотных; – оснований и амфотерных гидроксидов; – кислот; – солей: средних, кислых, ос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нóвных; комплексных (на примере гидроксосоединений алюминия и цинка)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Взаимосвязь неорганических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органических веществ. Номенклатура органических веществ (тривиальная и международная)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 (в лаборатории). Характерные химические свойства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азотсодержащих органических соединений: аминов и аминокислот. Важнейшие способы получения аминов и аминокислот. Биологически важные вещества: жиры, углеводы (моносахариды, дисахариды, полисахариды), белки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радикальные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механизмы реакций в органической химии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Взаимосвязь углеводородов, кислородсодержащих и азотсодержащих органических соединений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химических реакций в неорганической и органической химии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Скорость реакции, её зависимость от различных факторов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 окислительно-восстановительны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Электролиз расплавов и растворов (солей, щелочей, кислот)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Гидролиз солей. Среда водных растворов: кислая, нейтральная, щелочная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Обратимые и необратимые химические реакции. Химическое равновесие. Смещение равновесия под действием различных факторов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Обратимые и необратимые химические реакции. Химическое равновесие. Расчёты количества вещества, массы вещества или объёма газов по известному количеству вещества, массе или объёму одного из участвующих в реакции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Качественные реакции на неорганические вещества и ионы. Качественные реакции органических соединений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с использованием понятий «растворимость», «массовая доля вещества в растворе»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теплового эффекта (по термохимическим уравнениям)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массы вещества или объёма газов по известному количеству вещества, массе или объёму одного из участвующих в реакции веществ. Расчёты массовой или объёмной доли выхода продукта реакции от теоретически возможного. Расчёты массовой доли (массы) химиче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ского соединения в смеси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Окислитель и восстановитель. Реакции окислительно-восстановительные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Электролитическая диссоциация электролитов в водных растворах. Сильные и слабые электролиты. Реакции ионного обмена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31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Реакции, подтверждающие взаимосвязь различных классов неорганических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32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Реакции, подтверждающие взаимосвязь органических соединений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33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с использованием понятий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Расчёты массы (объёма, количества вещества) продукта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реакции, если одно из веществ дано в виде раствора с определённой массовой долей растворённого вещества. Расчёты массовой доли (массы) химического соединения в смеси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34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Установление молекулярной и структурной формул вещества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</w:tbl>
    <w:p>
      <w:pPr>
        <w:pStyle w:val="630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30"/>
        <w:jc w:val="both"/>
        <w:rPr>
          <w:b w:val="false"/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 w:val="false"/>
          <w:sz w:val="24"/>
          <w:szCs w:val="28"/>
          <w:highlight w:val="none"/>
        </w:rPr>
        <w:t xml:space="preserve">обучающийся, выбравший экзамен по химии при решении заданий КИМ ЕГЭ</w:t>
      </w:r>
      <w:r>
        <w:rPr>
          <w:b w:val="false"/>
          <w:sz w:val="24"/>
          <w:szCs w:val="28"/>
          <w:highlight w:val="none"/>
        </w:rPr>
        <w:t xml:space="preserve"> приступал к заданиям базового и повышенного уровней сложности. Нужно отметить , что основная масса заданий в экзаменационной работе выполнена лишь в первой части на базовом  и повышенном уровнях, во второй части КИМ не было выполнено ни одного задания.</w:t>
      </w:r>
      <w:r>
        <w:rPr>
          <w:b w:val="false"/>
          <w:sz w:val="24"/>
        </w:rPr>
      </w:r>
      <w:r>
        <w:rPr>
          <w:b w:val="false"/>
        </w:rPr>
      </w:r>
    </w:p>
    <w:p>
      <w:pPr>
        <w:pStyle w:val="630"/>
        <w:jc w:val="both"/>
        <w:rPr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обучающегося на повышенном и высоком уровне:</w:t>
      </w:r>
      <w:r>
        <w:rPr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1.</w:t>
      </w:r>
      <w:r>
        <w:rPr>
          <w:rFonts w:ascii="Times New Roman" w:hAnsi="Times New Roman" w:cs="Times New Roman" w:eastAsia="Times New Roman"/>
          <w:sz w:val="24"/>
        </w:rPr>
        <w:t xml:space="preserve">Классификация неорганических веществ. Номенклатура неорганических веществ (тривиальная и международная). Характерные химические свойства неорганических веществ: – простых веществ – металлов: щелочных, щёлочноземельных, магния, алюминия, переходных металлов</w:t>
      </w:r>
      <w:r>
        <w:rPr>
          <w:rFonts w:ascii="Times New Roman" w:hAnsi="Times New Roman" w:cs="Times New Roman" w:eastAsia="Times New Roman"/>
          <w:sz w:val="24"/>
        </w:rPr>
        <w:t xml:space="preserve"> (меди, цинка, хрома, железа); – простых веществ – неметаллов: водорода, галогенов, кислорода, серы, азота, фосфора, углерода, кремния; – оксидов: оснóвных, амфотерных, кислотных; – оснований и амфотерных гидроксидов; – кислот; – солей: средних, кислых, ос</w:t>
      </w:r>
      <w:r>
        <w:rPr>
          <w:rFonts w:ascii="Times New Roman" w:hAnsi="Times New Roman" w:cs="Times New Roman" w:eastAsia="Times New Roman"/>
          <w:sz w:val="24"/>
        </w:rPr>
        <w:t xml:space="preserve">нóвных; комплексных (на примере гидроксосоединений алюминия и цинка)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радикальные </w:t>
      </w:r>
      <w:r>
        <w:rPr>
          <w:rFonts w:ascii="Times New Roman" w:hAnsi="Times New Roman" w:cs="Times New Roman" w:eastAsia="Times New Roman"/>
          <w:sz w:val="24"/>
        </w:rPr>
        <w:t xml:space="preserve">механизмы реакций в органической химии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Качественные реакции на неорганические вещества и ионы. Качественные реакции органических соединений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4. </w:t>
      </w:r>
      <w:r>
        <w:rPr>
          <w:rFonts w:ascii="Times New Roman" w:hAnsi="Times New Roman" w:cs="Times New Roman" w:eastAsia="Times New Roman"/>
          <w:sz w:val="24"/>
        </w:rPr>
        <w:t xml:space="preserve">Окислитель и восстановитель. Реакции окислительно-восстановительные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b w:val="false"/>
          <w:sz w:val="24"/>
          <w:szCs w:val="28"/>
        </w:rPr>
        <w:t xml:space="preserve">5.</w:t>
      </w:r>
      <w:r>
        <w:rPr>
          <w:b w:val="false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Электролитическая диссоциация электролитов в водных растворах. Сильные и слабые электролиты. Реакции ионного обмена;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b w:val="false"/>
          <w:sz w:val="24"/>
          <w:szCs w:val="28"/>
        </w:rPr>
        <w:t xml:space="preserve">6. </w:t>
      </w:r>
      <w:r>
        <w:rPr>
          <w:rFonts w:ascii="Times New Roman" w:hAnsi="Times New Roman" w:cs="Times New Roman" w:eastAsia="Times New Roman"/>
          <w:sz w:val="24"/>
        </w:rPr>
        <w:t xml:space="preserve">Реакции, подтверждающие взаимосвязь различных классов неорганических веществ;</w:t>
      </w:r>
      <w:r>
        <w:rPr>
          <w:b w:val="false"/>
          <w:sz w:val="24"/>
          <w:szCs w:val="28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b w:val="false"/>
          <w:sz w:val="24"/>
          <w:szCs w:val="28"/>
        </w:rPr>
      </w:r>
      <w:r>
        <w:rPr>
          <w:b w:val="false"/>
          <w:sz w:val="24"/>
          <w:szCs w:val="28"/>
        </w:rPr>
        <w:t xml:space="preserve">7.</w:t>
      </w:r>
      <w:r>
        <w:rPr>
          <w:b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Реакции, подтверждающие взаимосвязь органических соединений;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8. </w:t>
      </w:r>
      <w:r>
        <w:rPr>
          <w:rFonts w:ascii="Times New Roman" w:hAnsi="Times New Roman" w:cs="Times New Roman" w:eastAsia="Times New Roman"/>
          <w:sz w:val="24"/>
        </w:rPr>
        <w:t xml:space="preserve">Расчёты с использованием понятий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Расчёты массы (объёма, количества вещества) продукта </w:t>
      </w:r>
      <w:r>
        <w:rPr>
          <w:rFonts w:ascii="Times New Roman" w:hAnsi="Times New Roman" w:cs="Times New Roman" w:eastAsia="Times New Roman"/>
          <w:sz w:val="24"/>
        </w:rPr>
        <w:t xml:space="preserve">реакции, если одно из веществ дано в виде раствора с определённой массовой долей растворённого вещества. Расчёты массовой доли (массы) химического соединения в смеси</w:t>
      </w:r>
      <w:r>
        <w:rPr>
          <w:rFonts w:ascii="Times New Roman" w:hAnsi="Times New Roman" w:cs="Times New Roman" w:eastAsia="Times New Roman"/>
          <w:sz w:val="24"/>
        </w:rPr>
        <w:t xml:space="preserve">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9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Установление молекулярной и структурной формул вещества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0"/>
        <w:jc w:val="center"/>
        <w:rPr>
          <w:i/>
          <w:sz w:val="24"/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биологии</w:t>
      </w:r>
      <w:r>
        <w:rPr>
          <w:i/>
          <w:sz w:val="24"/>
        </w:rPr>
      </w:r>
      <w:r>
        <w:rPr>
          <w:i/>
        </w:rPr>
      </w:r>
    </w:p>
    <w:p>
      <w:pPr>
        <w:pStyle w:val="630"/>
        <w:jc w:val="both"/>
        <w:rPr>
          <w:sz w:val="24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 </w:t>
      </w:r>
      <w:r>
        <w:rPr>
          <w:b w:val="false"/>
          <w:sz w:val="24"/>
          <w:szCs w:val="28"/>
          <w:highlight w:val="none"/>
        </w:rPr>
        <w:t xml:space="preserve">  Из 9 обучающихся, допущенных к государственной итоговой аттестации, 1 ч. (11,1% от общего числа обучающихся) сдавал экзамен в форме ЕГЭ  по предмету.</w:t>
      </w:r>
      <w:r>
        <w:rPr>
          <w:sz w:val="24"/>
        </w:rPr>
      </w:r>
      <w:r/>
      <w:r>
        <w:rPr>
          <w:b/>
          <w:sz w:val="28"/>
          <w:szCs w:val="28"/>
          <w:highlight w:val="none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912"/>
        <w:gridCol w:w="2427"/>
        <w:gridCol w:w="2427"/>
        <w:gridCol w:w="2427"/>
        <w:gridCol w:w="2427"/>
      </w:tblGrid>
      <w:tr>
        <w:trPr/>
        <w:tc>
          <w:tcPr>
            <w:tcW w:w="2942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sz w:val="24"/>
                <w:szCs w:val="28"/>
                <w:lang w:val="ru-RU"/>
              </w:rPr>
              <w:t xml:space="preserve">работающий учитель</w:t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обучающихся, сдававших экзамен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Процент успеваемости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</w:pPr>
            <w:r>
              <w:rPr>
                <w:b/>
                <w:i/>
                <w:sz w:val="24"/>
              </w:rPr>
              <w:t xml:space="preserve">Минимальная граница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Средний балл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Не прошли уровень</w:t>
            </w:r>
            <w:r/>
          </w:p>
        </w:tc>
      </w:tr>
      <w:tr>
        <w:trPr>
          <w:trHeight w:val="436"/>
        </w:trPr>
        <w:tc>
          <w:tcPr>
            <w:tcW w:w="29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0%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30"/>
        <w:jc w:val="center"/>
      </w:pPr>
      <w:r>
        <w:rPr>
          <w:b w:val="false"/>
          <w:sz w:val="28"/>
          <w:szCs w:val="28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sz w:val="24"/>
        </w:rPr>
      </w:r>
      <w:r/>
    </w:p>
    <w:p>
      <w:pPr>
        <w:pStyle w:val="630"/>
        <w:jc w:val="center"/>
      </w:pPr>
      <w:r>
        <w:rPr>
          <w:b/>
          <w:sz w:val="28"/>
          <w:szCs w:val="28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91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(№1-21)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(№22-28)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0ч.(0%)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 ч. (100,0%)</w:t>
            </w:r>
            <w:r/>
          </w:p>
        </w:tc>
      </w:tr>
    </w:tbl>
    <w:p>
      <w:pPr>
        <w:pStyle w:val="630"/>
        <w:jc w:val="center"/>
      </w:pPr>
      <w:r>
        <w:rPr>
          <w:b/>
          <w:sz w:val="28"/>
          <w:szCs w:val="28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sz w:val="24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21"/>
        <w:gridCol w:w="1276"/>
        <w:gridCol w:w="2268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Проверяемые элементы содержания</w:t>
            </w:r>
            <w:r>
              <w:rPr>
                <w:highlight w:val="none"/>
              </w:rPr>
            </w:r>
            <w:r/>
          </w:p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Биология как наука. Методы научного познания. Уровни организации и признаки живого. Работа с таблицей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Прогнозирование результатов биологического эксперимента. Множественный выбор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Генетическая информация в клетке. Хромосомный набор, соматические и половые клетки. Решение биологической задачи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Моно- и дигибридное, анализирующее скрещивание. Решение биологической задачи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Клетка как биологическая система. Строение клетки, метаболизм. Жизненный цикл клетки. Анализ рисунка или схемы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Клетка как биологическая система. Строение клетки, метаболизм. Жизненный цикл клетки. Установление соответствия (с рисунком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как биологическая система. Селекция. Биотехнология. Множественный выбор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как биологическая система. Селекция. Биотехнология. Установление последовательности (без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Многообразие организмов. Бактерии, Грибы, Растения, Животные, Вирусы. Множественный выбор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Многообразие организмов. Бактерии, Грибы, Растения, Животные, Вирусы. Установление соответствия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Многообразие организмов. Основные систематические категории, их соподчинённость. Установление последовательности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человека. Гигиена человека. Множественный выбор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человека. Установление соответствия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человека. Установление последовательности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Эволюция живой природы. Множественный выбор (работа с текстом)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Эволюция живой природы. Происхождение человека. Установление соответствия (без рисунка)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Экосистемы и присущие им закономерности. Биосфера. Множественный выбор (без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Экосистемы и присущие им закономерности. Биосфера. Установление соответствия (без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Общебиологические закономерности. Установление последовательности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Общебиологические закономерности. Человек и его здоровье. Работа с таблицей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Биологические системы и их закономерности. Анализ данных в табличной или графической форме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Применение биологических знаний и умений в практических ситуациях (анализ биологического эксперимента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Задание с изображением биологического объекта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Задание на анализ биологической информации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Обобщение и применение знаний о человеке и многообразии организмов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Обобщение и применение знаний об эволюции органического мира и экологических закономерностях в новой ситуации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Решение задач по цитологии на применение знаний в новой ситуации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Решение задач по генетике на применение знаний в новой ситуации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30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30"/>
        <w:jc w:val="both"/>
        <w:rPr>
          <w:b w:val="false"/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 w:val="false"/>
          <w:sz w:val="24"/>
          <w:szCs w:val="28"/>
          <w:highlight w:val="none"/>
        </w:rPr>
        <w:t xml:space="preserve">обучающаяся, выбравшая экзамен по биологии при решении заданий КИМ ЕГЭ</w:t>
      </w:r>
      <w:r>
        <w:rPr>
          <w:b w:val="false"/>
          <w:sz w:val="24"/>
          <w:szCs w:val="28"/>
          <w:highlight w:val="none"/>
        </w:rPr>
        <w:t xml:space="preserve"> пр</w:t>
      </w:r>
      <w:r>
        <w:rPr>
          <w:b w:val="false"/>
          <w:sz w:val="24"/>
          <w:szCs w:val="28"/>
          <w:highlight w:val="none"/>
        </w:rPr>
        <w:t xml:space="preserve">иступала к заданиям базового и повышенного уровней сложности. Нужно отметить , что основная масса заданий в экзаменационной работе выполнена лишь в первой части на базовом  и повышенном уровнях, во второй части КИМ не было выполнено ни одного зада</w:t>
      </w:r>
      <w:r>
        <w:rPr>
          <w:b w:val="false"/>
          <w:sz w:val="24"/>
          <w:szCs w:val="28"/>
          <w:highlight w:val="none"/>
        </w:rPr>
        <w:t xml:space="preserve">ния.</w:t>
      </w:r>
      <w:r>
        <w:rPr>
          <w:b w:val="false"/>
          <w:sz w:val="24"/>
          <w:highlight w:val="none"/>
        </w:rPr>
        <w:t xml:space="preserve"> Основная причина неуспешности выполнения заданий КИМ связана с нерациональным использованием отведённого на </w:t>
      </w:r>
      <w:r>
        <w:rPr>
          <w:b w:val="false"/>
          <w:sz w:val="24"/>
          <w:highlight w:val="none"/>
        </w:rPr>
        <w:t xml:space="preserve">экзамен времени. При отведённом на выполнение экзаменационной работы времени 3 ч. 55 минут обучающаяся использовала менее 1 ч. 30 минут. Поспешность преждевременного выхода выпускницы с экзамена привела к тому, что минимальный пороговый балл не был пройден.</w:t>
      </w:r>
      <w:r>
        <w:rPr>
          <w:b w:val="false"/>
          <w:sz w:val="24"/>
        </w:rPr>
      </w:r>
      <w:r>
        <w:rPr>
          <w:b w:val="false"/>
        </w:rPr>
      </w:r>
    </w:p>
    <w:p>
      <w:pPr>
        <w:pStyle w:val="630"/>
        <w:jc w:val="both"/>
        <w:rPr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обучающегося на повышенном и высоком уровне:</w:t>
      </w:r>
      <w:r>
        <w:rPr>
          <w:sz w:val="24"/>
        </w:rPr>
      </w:r>
      <w:r/>
    </w:p>
    <w:p>
      <w:pPr>
        <w:pStyle w:val="630"/>
        <w:numPr>
          <w:ilvl w:val="0"/>
          <w:numId w:val="1"/>
        </w:num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Организм как биологическая система. Селекция. Биотехнология. Установление последовательности (без рисунка)</w:t>
      </w:r>
      <w:r>
        <w:rPr>
          <w:rFonts w:ascii="Times New Roman" w:hAnsi="Times New Roman" w:cs="Times New Roman" w:eastAsia="Times New Roman"/>
          <w:sz w:val="24"/>
        </w:rPr>
        <w:t xml:space="preserve">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2. </w:t>
      </w:r>
      <w:r>
        <w:rPr>
          <w:rFonts w:ascii="Times New Roman" w:hAnsi="Times New Roman" w:cs="Times New Roman" w:eastAsia="Times New Roman"/>
          <w:sz w:val="24"/>
        </w:rPr>
        <w:t xml:space="preserve">Многообразие организмов. Бактерии, Грибы, Растения, Животные, Вирусы. Установление соответствия (с рисунком и без рисунка)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3.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Экосистемы и присущие им закономерности. Биосфера. Установление соответствия (без рисунка)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4. </w:t>
      </w:r>
      <w:r>
        <w:rPr>
          <w:rFonts w:ascii="Times New Roman" w:hAnsi="Times New Roman" w:cs="Times New Roman" w:eastAsia="Times New Roman"/>
          <w:sz w:val="24"/>
        </w:rPr>
        <w:t xml:space="preserve">Общебиологические закономерности. Установление последовательности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5. </w:t>
      </w:r>
      <w:r>
        <w:rPr>
          <w:rFonts w:ascii="Times New Roman" w:hAnsi="Times New Roman" w:cs="Times New Roman" w:eastAsia="Times New Roman"/>
          <w:sz w:val="24"/>
        </w:rPr>
        <w:t xml:space="preserve">Общебиологические закономерности. Человек и его здоровье. Работа с таблицей (с рисунком и без рисунка)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6. </w:t>
      </w:r>
      <w:r>
        <w:rPr>
          <w:rFonts w:ascii="Times New Roman" w:hAnsi="Times New Roman" w:cs="Times New Roman" w:eastAsia="Times New Roman"/>
          <w:sz w:val="24"/>
        </w:rPr>
        <w:t xml:space="preserve">Применение биологических знаний и умений в практических ситуациях (анализ биологического эксперимента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7. </w:t>
      </w:r>
      <w:r>
        <w:rPr>
          <w:rFonts w:ascii="Times New Roman" w:hAnsi="Times New Roman" w:cs="Times New Roman" w:eastAsia="Times New Roman"/>
          <w:sz w:val="24"/>
        </w:rPr>
        <w:t xml:space="preserve">Задание с изображением биологического объекта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8. </w:t>
      </w:r>
      <w:r>
        <w:rPr>
          <w:rFonts w:ascii="Times New Roman" w:hAnsi="Times New Roman" w:cs="Times New Roman" w:eastAsia="Times New Roman"/>
          <w:sz w:val="24"/>
        </w:rPr>
        <w:t xml:space="preserve">Задание на анализ биологической информации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9. </w:t>
      </w:r>
      <w:r>
        <w:rPr>
          <w:rFonts w:ascii="Times New Roman" w:hAnsi="Times New Roman" w:cs="Times New Roman" w:eastAsia="Times New Roman"/>
          <w:sz w:val="24"/>
        </w:rPr>
        <w:t xml:space="preserve">Обобщение и применение знаний о человеке и многообразии организмов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10. </w:t>
      </w:r>
      <w:r>
        <w:rPr>
          <w:rFonts w:ascii="Times New Roman" w:hAnsi="Times New Roman" w:cs="Times New Roman" w:eastAsia="Times New Roman"/>
          <w:sz w:val="24"/>
        </w:rPr>
        <w:t xml:space="preserve">Обобщение и применение знаний об эволюции органического мира и экологических закономерностях в новой ситуации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11. </w:t>
      </w:r>
      <w:r>
        <w:rPr>
          <w:rFonts w:ascii="Times New Roman" w:hAnsi="Times New Roman" w:cs="Times New Roman" w:eastAsia="Times New Roman"/>
          <w:sz w:val="24"/>
        </w:rPr>
        <w:t xml:space="preserve">Решение задач по цитологии на применение знаний в новой ситуации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12. </w:t>
      </w:r>
      <w:r>
        <w:rPr>
          <w:rFonts w:ascii="Times New Roman" w:hAnsi="Times New Roman" w:cs="Times New Roman" w:eastAsia="Times New Roman"/>
          <w:sz w:val="24"/>
        </w:rPr>
        <w:t xml:space="preserve">Решение задач по генетике на применение знаний в новой ситуации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В сравнен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ии с 2019-2020 и 2020-2021 учебными годами в 2021-2022 учебном году результаты государственной итоговой аттестации имеют тенденцию к росту успеваемости по предметам по выбору ( повышение на 2,4% с 83,3% до 85,7%), но к снижению качества знаний обучающихся.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 по обязательным предметам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 по предметам по выбору выпускника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2019-2020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83,3%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77,2%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85,7%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Вывод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: по результатам прохождения ГИА-11 в 2021-2022 учебном году все выпускники 11 класса получили аттестат о среднем общем образовании, завершив обучение в школе. Государственная итоговая аттестация прошла без нарушений 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Порядка проведения государственной итоговой аттестации по 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бразовательным программам среднего общего образования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. Хотя наблюдается рост успеваемости п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о предметам по выбору, однако имеет место снижение качества знаний выпускников. Основными причинами являются низкий уровень учебной мотивации и самоподготовки выпускников, нежелание в дальнейшем продолжать обучение по профессии в высших учебных заведениях.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Зам. директора по УВР:                  Т.Ю.Цымбал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i/>
          <w:sz w:val="24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sectPr>
      <w:footnotePr/>
      <w:endnotePr/>
      <w:type w:val="nextPage"/>
      <w:pgSz w:w="16838" w:h="11906" w:orient="landscape"/>
      <w:pgMar w:top="567" w:right="850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9">
    <w:name w:val="Heading 1 Char"/>
    <w:link w:val="610"/>
    <w:uiPriority w:val="9"/>
    <w:rPr>
      <w:rFonts w:ascii="Arial" w:hAnsi="Arial" w:cs="Arial" w:eastAsia="Arial"/>
      <w:sz w:val="40"/>
      <w:szCs w:val="40"/>
    </w:rPr>
  </w:style>
  <w:style w:type="character" w:styleId="450">
    <w:name w:val="Heading 2 Char"/>
    <w:link w:val="611"/>
    <w:uiPriority w:val="9"/>
    <w:rPr>
      <w:rFonts w:ascii="Arial" w:hAnsi="Arial" w:cs="Arial" w:eastAsia="Arial"/>
      <w:sz w:val="34"/>
    </w:rPr>
  </w:style>
  <w:style w:type="character" w:styleId="451">
    <w:name w:val="Heading 3 Char"/>
    <w:link w:val="612"/>
    <w:uiPriority w:val="9"/>
    <w:rPr>
      <w:rFonts w:ascii="Arial" w:hAnsi="Arial" w:cs="Arial" w:eastAsia="Arial"/>
      <w:sz w:val="30"/>
      <w:szCs w:val="30"/>
    </w:rPr>
  </w:style>
  <w:style w:type="character" w:styleId="452">
    <w:name w:val="Heading 4 Char"/>
    <w:link w:val="613"/>
    <w:uiPriority w:val="9"/>
    <w:rPr>
      <w:rFonts w:ascii="Arial" w:hAnsi="Arial" w:cs="Arial" w:eastAsia="Arial"/>
      <w:b/>
      <w:bCs/>
      <w:sz w:val="26"/>
      <w:szCs w:val="26"/>
    </w:rPr>
  </w:style>
  <w:style w:type="character" w:styleId="453">
    <w:name w:val="Heading 5 Char"/>
    <w:link w:val="614"/>
    <w:uiPriority w:val="9"/>
    <w:rPr>
      <w:rFonts w:ascii="Arial" w:hAnsi="Arial" w:cs="Arial" w:eastAsia="Arial"/>
      <w:b/>
      <w:bCs/>
      <w:sz w:val="24"/>
      <w:szCs w:val="24"/>
    </w:rPr>
  </w:style>
  <w:style w:type="character" w:styleId="454">
    <w:name w:val="Heading 6 Char"/>
    <w:link w:val="615"/>
    <w:uiPriority w:val="9"/>
    <w:rPr>
      <w:rFonts w:ascii="Arial" w:hAnsi="Arial" w:cs="Arial" w:eastAsia="Arial"/>
      <w:b/>
      <w:bCs/>
      <w:sz w:val="22"/>
      <w:szCs w:val="22"/>
    </w:rPr>
  </w:style>
  <w:style w:type="character" w:styleId="455">
    <w:name w:val="Heading 7 Char"/>
    <w:link w:val="6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6">
    <w:name w:val="Heading 8 Char"/>
    <w:link w:val="617"/>
    <w:uiPriority w:val="9"/>
    <w:rPr>
      <w:rFonts w:ascii="Arial" w:hAnsi="Arial" w:cs="Arial" w:eastAsia="Arial"/>
      <w:i/>
      <w:iCs/>
      <w:sz w:val="22"/>
      <w:szCs w:val="22"/>
    </w:rPr>
  </w:style>
  <w:style w:type="character" w:styleId="457">
    <w:name w:val="Heading 9 Char"/>
    <w:link w:val="618"/>
    <w:uiPriority w:val="9"/>
    <w:rPr>
      <w:rFonts w:ascii="Arial" w:hAnsi="Arial" w:cs="Arial" w:eastAsia="Arial"/>
      <w:i/>
      <w:iCs/>
      <w:sz w:val="21"/>
      <w:szCs w:val="21"/>
    </w:rPr>
  </w:style>
  <w:style w:type="character" w:styleId="458">
    <w:name w:val="Title Char"/>
    <w:link w:val="627"/>
    <w:uiPriority w:val="10"/>
    <w:rPr>
      <w:sz w:val="48"/>
      <w:szCs w:val="48"/>
    </w:rPr>
  </w:style>
  <w:style w:type="character" w:styleId="459">
    <w:name w:val="Subtitle Char"/>
    <w:link w:val="625"/>
    <w:uiPriority w:val="11"/>
    <w:rPr>
      <w:sz w:val="24"/>
      <w:szCs w:val="24"/>
    </w:rPr>
  </w:style>
  <w:style w:type="character" w:styleId="460">
    <w:name w:val="Quote Char"/>
    <w:link w:val="624"/>
    <w:uiPriority w:val="29"/>
    <w:rPr>
      <w:i/>
    </w:rPr>
  </w:style>
  <w:style w:type="character" w:styleId="461">
    <w:name w:val="Intense Quote Char"/>
    <w:link w:val="626"/>
    <w:uiPriority w:val="30"/>
    <w:rPr>
      <w:i/>
    </w:rPr>
  </w:style>
  <w:style w:type="character" w:styleId="462">
    <w:name w:val="Header Char"/>
    <w:link w:val="622"/>
    <w:uiPriority w:val="99"/>
  </w:style>
  <w:style w:type="character" w:styleId="463">
    <w:name w:val="Footer Char"/>
    <w:link w:val="621"/>
    <w:uiPriority w:val="99"/>
  </w:style>
  <w:style w:type="paragraph" w:styleId="464">
    <w:name w:val="Caption"/>
    <w:basedOn w:val="609"/>
    <w:next w:val="6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21"/>
    <w:uiPriority w:val="99"/>
  </w:style>
  <w:style w:type="table" w:styleId="466">
    <w:name w:val="Table Grid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Table Grid Light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1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2"/>
    <w:basedOn w:val="6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>
    <w:name w:val="Plain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1">
    <w:name w:val="Plain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Plain Table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3">
    <w:name w:val="Grid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Grid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5">
    <w:name w:val="Grid Table 4 - Accent 1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6">
    <w:name w:val="Grid Table 4 - Accent 2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Grid Table 4 - Accent 3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8">
    <w:name w:val="Grid Table 4 - Accent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Grid Table 4 - Accent 5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0">
    <w:name w:val="Grid Table 4 - Accent 6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1">
    <w:name w:val="Grid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2">
    <w:name w:val="Grid Table 5 Dark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5">
    <w:name w:val="Grid Table 5 Dark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7">
    <w:name w:val="Grid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8">
    <w:name w:val="Grid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9">
    <w:name w:val="Grid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0">
    <w:name w:val="Grid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1">
    <w:name w:val="Grid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2">
    <w:name w:val="Grid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3">
    <w:name w:val="Grid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5">
    <w:name w:val="Grid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List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0">
    <w:name w:val="List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1">
    <w:name w:val="List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2">
    <w:name w:val="List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3">
    <w:name w:val="List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4">
    <w:name w:val="List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5">
    <w:name w:val="List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6">
    <w:name w:val="List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4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7">
    <w:name w:val="List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8">
    <w:name w:val="List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9">
    <w:name w:val="List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0">
    <w:name w:val="List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1">
    <w:name w:val="List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2">
    <w:name w:val="List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3">
    <w:name w:val="List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4">
    <w:name w:val="List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5">
    <w:name w:val="List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6">
    <w:name w:val="List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7">
    <w:name w:val="List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8">
    <w:name w:val="List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9">
    <w:name w:val="List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70">
    <w:name w:val="List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71">
    <w:name w:val="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2">
    <w:name w:val="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3">
    <w:name w:val="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4">
    <w:name w:val="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5">
    <w:name w:val="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6">
    <w:name w:val="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7">
    <w:name w:val="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8">
    <w:name w:val="Bordered &amp; 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9">
    <w:name w:val="Bordered &amp; 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0">
    <w:name w:val="Bordered &amp; 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1">
    <w:name w:val="Bordered &amp; 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2">
    <w:name w:val="Bordered &amp; 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3">
    <w:name w:val="Bordered &amp; 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4">
    <w:name w:val="Bordered &amp; 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5">
    <w:name w:val="Bordered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6">
    <w:name w:val="Bordered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7">
    <w:name w:val="Bordered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8">
    <w:name w:val="Bordered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9">
    <w:name w:val="Bordered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0">
    <w:name w:val="Bordered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1">
    <w:name w:val="Bordered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2">
    <w:name w:val="Hyperlink"/>
    <w:uiPriority w:val="99"/>
    <w:unhideWhenUsed/>
    <w:rPr>
      <w:color w:val="0000FF" w:themeColor="hyperlink"/>
      <w:u w:val="single"/>
    </w:rPr>
  </w:style>
  <w:style w:type="paragraph" w:styleId="593">
    <w:name w:val="footnote text"/>
    <w:basedOn w:val="609"/>
    <w:link w:val="594"/>
    <w:uiPriority w:val="99"/>
    <w:semiHidden/>
    <w:unhideWhenUsed/>
    <w:rPr>
      <w:sz w:val="18"/>
    </w:rPr>
    <w:pPr>
      <w:spacing w:lineRule="auto" w:line="240" w:after="40"/>
    </w:pPr>
  </w:style>
  <w:style w:type="character" w:styleId="594">
    <w:name w:val="Footnote Text Char"/>
    <w:link w:val="593"/>
    <w:uiPriority w:val="99"/>
    <w:rPr>
      <w:sz w:val="18"/>
    </w:rPr>
  </w:style>
  <w:style w:type="character" w:styleId="595">
    <w:name w:val="footnote reference"/>
    <w:uiPriority w:val="99"/>
    <w:unhideWhenUsed/>
    <w:rPr>
      <w:vertAlign w:val="superscript"/>
    </w:rPr>
  </w:style>
  <w:style w:type="paragraph" w:styleId="596">
    <w:name w:val="endnote text"/>
    <w:basedOn w:val="609"/>
    <w:link w:val="597"/>
    <w:uiPriority w:val="99"/>
    <w:semiHidden/>
    <w:unhideWhenUsed/>
    <w:rPr>
      <w:sz w:val="20"/>
    </w:rPr>
    <w:pPr>
      <w:spacing w:lineRule="auto" w:line="240" w:after="0"/>
    </w:pPr>
  </w:style>
  <w:style w:type="character" w:styleId="597">
    <w:name w:val="Endnote Text Char"/>
    <w:link w:val="596"/>
    <w:uiPriority w:val="99"/>
    <w:rPr>
      <w:sz w:val="20"/>
    </w:rPr>
  </w:style>
  <w:style w:type="character" w:styleId="598">
    <w:name w:val="endnote reference"/>
    <w:uiPriority w:val="99"/>
    <w:semiHidden/>
    <w:unhideWhenUsed/>
    <w:rPr>
      <w:vertAlign w:val="superscript"/>
    </w:rPr>
  </w:style>
  <w:style w:type="paragraph" w:styleId="599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600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601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602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603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604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605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606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607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608">
    <w:name w:val="TOC Heading"/>
    <w:uiPriority w:val="39"/>
    <w:unhideWhenUsed/>
  </w:style>
  <w:style w:type="paragraph" w:styleId="609" w:default="1">
    <w:name w:val="Normal"/>
    <w:qFormat/>
  </w:style>
  <w:style w:type="paragraph" w:styleId="610">
    <w:name w:val="Heading 1"/>
    <w:basedOn w:val="609"/>
    <w:next w:val="6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11">
    <w:name w:val="Heading 2"/>
    <w:basedOn w:val="609"/>
    <w:next w:val="6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2">
    <w:name w:val="Heading 3"/>
    <w:basedOn w:val="609"/>
    <w:next w:val="6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3">
    <w:name w:val="Heading 4"/>
    <w:basedOn w:val="609"/>
    <w:next w:val="6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4">
    <w:name w:val="Heading 5"/>
    <w:basedOn w:val="609"/>
    <w:next w:val="6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5">
    <w:name w:val="Heading 6"/>
    <w:basedOn w:val="609"/>
    <w:next w:val="6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6">
    <w:name w:val="Heading 7"/>
    <w:basedOn w:val="609"/>
    <w:next w:val="6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7">
    <w:name w:val="Heading 8"/>
    <w:basedOn w:val="609"/>
    <w:next w:val="6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8">
    <w:name w:val="Heading 9"/>
    <w:basedOn w:val="609"/>
    <w:next w:val="6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Foot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2">
    <w:name w:val="Head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3">
    <w:name w:val="No Spacing"/>
    <w:qFormat/>
    <w:uiPriority w:val="1"/>
    <w:pPr>
      <w:spacing w:lineRule="auto" w:line="240" w:after="0"/>
    </w:pPr>
  </w:style>
  <w:style w:type="paragraph" w:styleId="624">
    <w:name w:val="Quote"/>
    <w:basedOn w:val="609"/>
    <w:next w:val="6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5">
    <w:name w:val="Subtitle"/>
    <w:basedOn w:val="609"/>
    <w:next w:val="6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6">
    <w:name w:val="Intense Quote"/>
    <w:basedOn w:val="609"/>
    <w:next w:val="6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7">
    <w:name w:val="Title"/>
    <w:basedOn w:val="609"/>
    <w:next w:val="6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8">
    <w:name w:val="List Paragraph"/>
    <w:basedOn w:val="609"/>
    <w:qFormat/>
    <w:uiPriority w:val="34"/>
    <w:pPr>
      <w:contextualSpacing w:val="true"/>
      <w:ind w:left="720"/>
    </w:pPr>
  </w:style>
  <w:style w:type="character" w:styleId="629" w:default="1">
    <w:name w:val="Default Paragraph Font"/>
    <w:uiPriority w:val="1"/>
    <w:semiHidden/>
    <w:unhideWhenUsed/>
  </w:style>
  <w:style w:type="paragraph" w:styleId="63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2022-07-29T22:23:45Z</dcterms:modified>
</cp:coreProperties>
</file>